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1fd8b" w14:textId="f21fd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структуры планов гражданской обороны и планов действий по ликвидации чрезвычайных ситуаций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29 мая 2014 года № 258. Зарегистрирован в Министерстве юстиции Республики Казахстан 3 июля 2014 года № 9554.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26)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апреля 2014 года "О гражданской защите",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4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структуру планов гражданской обороны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5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структуру плана действий по ликвидации чрезвычайных ситуаций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внутренних дел РК от 02.05.2018 </w:t>
      </w:r>
      <w:r>
        <w:rPr>
          <w:rFonts w:ascii="Times New Roman"/>
          <w:b w:val="false"/>
          <w:i w:val="false"/>
          <w:color w:val="000000"/>
          <w:sz w:val="28"/>
        </w:rPr>
        <w:t>№ 335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Гражданской обороны Министерства по чрезвычайным ситуациям Республики Казахстан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в средствах массовой информации.</w:t>
      </w:r>
    </w:p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по чрезвычайным ситуациям Республики Казахстан Петрова В.В.</w:t>
      </w:r>
    </w:p>
    <w:bookmarkEnd w:id="5"/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Божко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2014 года № 258</w:t>
            </w:r>
          </w:p>
        </w:tc>
      </w:tr>
    </w:tbl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планов гражданской обороны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Структура – в редакции приказа Министра по чрезвычайным ситуациям РК от 12.04.2022 </w:t>
      </w:r>
      <w:r>
        <w:rPr>
          <w:rFonts w:ascii="Times New Roman"/>
          <w:b w:val="false"/>
          <w:i w:val="false"/>
          <w:color w:val="ff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Структура планов гражданской обороны Республики Казахстан, центральных исполнительных органов и местных исполнительных органов</w:t>
      </w:r>
    </w:p>
    <w:bookmarkEnd w:id="8"/>
    <w:bookmarkStart w:name="z1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Краткая оценка возможной обстановки в случае нападения противника</w:t>
      </w:r>
    </w:p>
    <w:bookmarkEnd w:id="9"/>
    <w:bookmarkStart w:name="z1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Краткая характеристика вероятных объектов нападения при применении современных средств поражения и действий диверсионно-разведывательных групп. Особенности, влияющие на организацию и ведение гражданской обороны.</w:t>
      </w:r>
    </w:p>
    <w:bookmarkEnd w:id="10"/>
    <w:bookmarkStart w:name="z1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Краткая оценка возможной обстановки на объектах после нападения противника и действия диверсионных разведывательных групп. Возможные масштабы и характер последствий нападения противника.</w:t>
      </w:r>
    </w:p>
    <w:bookmarkEnd w:id="11"/>
    <w:bookmarkStart w:name="z1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Выводы из оценки обстановки после нападения противника.</w:t>
      </w:r>
    </w:p>
    <w:bookmarkEnd w:id="12"/>
    <w:bookmarkStart w:name="z1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Мероприятия при введении степеней готовности гражданской защиты</w:t>
      </w:r>
    </w:p>
    <w:bookmarkEnd w:id="13"/>
    <w:bookmarkStart w:name="z1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введении степени готовности гражданской защиты "первоочередные мероприятия первой группы".</w:t>
      </w:r>
    </w:p>
    <w:bookmarkEnd w:id="14"/>
    <w:bookmarkStart w:name="z1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введении степени готовности гражданской защиты "первоочередные мероприятия второй группы".</w:t>
      </w:r>
    </w:p>
    <w:bookmarkEnd w:id="15"/>
    <w:bookmarkStart w:name="z1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введении степени готовности гражданской защиты "Общая готовность".</w:t>
      </w:r>
    </w:p>
    <w:bookmarkEnd w:id="16"/>
    <w:bookmarkStart w:name="z12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Мероприятия гражданской обороны, проводимые при введении военного положения и в военное время</w:t>
      </w:r>
    </w:p>
    <w:bookmarkEnd w:id="17"/>
    <w:bookmarkStart w:name="z1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Оповещение органов управления гражданской защиты и населения. Организация проведения мероприятий по сигналу оповещения "Внимание всем!".</w:t>
      </w:r>
    </w:p>
    <w:bookmarkEnd w:id="18"/>
    <w:bookmarkStart w:name="z1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Инженерно-технические мероприятия гражданской обороны.</w:t>
      </w:r>
    </w:p>
    <w:bookmarkEnd w:id="19"/>
    <w:bookmarkStart w:name="z1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Противорадиационная, химическая и биологическая защита.</w:t>
      </w:r>
    </w:p>
    <w:bookmarkEnd w:id="20"/>
    <w:bookmarkStart w:name="z1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Медицинская помощь, санитарно-противоэпидемические и санитарно-профилактические мероприятия.</w:t>
      </w:r>
    </w:p>
    <w:bookmarkEnd w:id="21"/>
    <w:bookmarkStart w:name="z1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Эвакуационные мероприятия.</w:t>
      </w:r>
    </w:p>
    <w:bookmarkEnd w:id="22"/>
    <w:bookmarkStart w:name="z1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Материально-техническое обеспечение.</w:t>
      </w:r>
    </w:p>
    <w:bookmarkEnd w:id="23"/>
    <w:bookmarkStart w:name="z1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Состав сил и средств гражданской защиты, организация и проведение аварийно-спасательных и неотложных работ.</w:t>
      </w:r>
    </w:p>
    <w:bookmarkEnd w:id="24"/>
    <w:bookmarkStart w:name="z1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Организация управления и связи.</w:t>
      </w:r>
    </w:p>
    <w:bookmarkEnd w:id="25"/>
    <w:bookmarkStart w:name="z1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Организация взаимодействия с органами военного управления.</w:t>
      </w:r>
    </w:p>
    <w:bookmarkEnd w:id="26"/>
    <w:bookmarkStart w:name="z1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План гражданской обороны состоит из графической части, оформленной на топографической карте следующих масштабов: для республиканского уровня М 1:1 000 000; областей М 1:500 000; городов республиканского значения, столицы, города областного значения М 1:50 000; района области М 1:100 000.</w:t>
      </w:r>
    </w:p>
    <w:bookmarkEnd w:id="27"/>
    <w:bookmarkStart w:name="z1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Текстовая часть плана гражданской обороны оформляется в виде пояснительной записки.</w:t>
      </w:r>
    </w:p>
    <w:bookmarkEnd w:id="28"/>
    <w:bookmarkStart w:name="z13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Структура планов гражданской обороны для категорированных организаций и организаций, на базе которых созданы службы гражданской защиты</w:t>
      </w:r>
    </w:p>
    <w:bookmarkEnd w:id="29"/>
    <w:bookmarkStart w:name="z13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Краткая оценка возможной обстановки в случае нападения противника</w:t>
      </w:r>
    </w:p>
    <w:bookmarkEnd w:id="30"/>
    <w:bookmarkStart w:name="z1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Краткая характеристика категорированных организаций и организаций, на базе которых созданы службы гражданской защиты (далее - организаций). Особенности, влияющие на организацию и ведение мероприятий гражданской обороны.</w:t>
      </w:r>
    </w:p>
    <w:bookmarkEnd w:id="31"/>
    <w:bookmarkStart w:name="z1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Краткая оценка возможной обстановки, сложившейся после нападения противника и действия диверсионных разведывательных групп. Возможные масштабы и характер последствий нападения противника.</w:t>
      </w:r>
    </w:p>
    <w:bookmarkEnd w:id="32"/>
    <w:bookmarkStart w:name="z1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Выводы из оценки обстановки после нападения противника.</w:t>
      </w:r>
    </w:p>
    <w:bookmarkEnd w:id="33"/>
    <w:bookmarkStart w:name="z138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Мероприятия при введении степеней готовности гражданской защиты</w:t>
      </w:r>
    </w:p>
    <w:bookmarkEnd w:id="34"/>
    <w:bookmarkStart w:name="z1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введении степени готовности гражданской защиты "первоочередные мероприятия первой группы".</w:t>
      </w:r>
    </w:p>
    <w:bookmarkEnd w:id="35"/>
    <w:bookmarkStart w:name="z1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введении степени готовности гражданской защиты "первоочередные мероприятия второй группы".</w:t>
      </w:r>
    </w:p>
    <w:bookmarkEnd w:id="36"/>
    <w:bookmarkStart w:name="z1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 введении степени готовности гражданской защиты "Общая готовность".</w:t>
      </w:r>
    </w:p>
    <w:bookmarkEnd w:id="37"/>
    <w:bookmarkStart w:name="z142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Мероприятия гражданской обороны, проводимые при введении военного положения и в военное время</w:t>
      </w:r>
    </w:p>
    <w:bookmarkEnd w:id="38"/>
    <w:bookmarkStart w:name="z1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Оповещение сотрудников и работников организаций.</w:t>
      </w:r>
    </w:p>
    <w:bookmarkEnd w:id="39"/>
    <w:bookmarkStart w:name="z1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Инженерно-технические мероприятия гражданской обороны.</w:t>
      </w:r>
    </w:p>
    <w:bookmarkEnd w:id="40"/>
    <w:bookmarkStart w:name="z1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Противорадиационная, химическая и биологическая защита.</w:t>
      </w:r>
    </w:p>
    <w:bookmarkEnd w:id="41"/>
    <w:bookmarkStart w:name="z1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Медицинская помощь, санитарно-противоэпидемические и санитарно-профилактические мероприятия.</w:t>
      </w:r>
    </w:p>
    <w:bookmarkEnd w:id="42"/>
    <w:bookmarkStart w:name="z1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Эвакуационные мероприятия.</w:t>
      </w:r>
    </w:p>
    <w:bookmarkEnd w:id="43"/>
    <w:bookmarkStart w:name="z1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Материально-техническое обеспечение.</w:t>
      </w:r>
    </w:p>
    <w:bookmarkEnd w:id="44"/>
    <w:bookmarkStart w:name="z1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Состав сил и средств гражданской защиты, организация и проведение аварийно-спасательных и неотложных работ.</w:t>
      </w:r>
    </w:p>
    <w:bookmarkEnd w:id="45"/>
    <w:bookmarkStart w:name="z1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Организация управления и связи.</w:t>
      </w:r>
    </w:p>
    <w:bookmarkEnd w:id="46"/>
    <w:bookmarkStart w:name="z1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Организация и проведение мероприятий по устойчивости объекта.</w:t>
      </w:r>
    </w:p>
    <w:bookmarkEnd w:id="47"/>
    <w:bookmarkStart w:name="z1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План гражданской обороны состоит из графической части, оформленной на карте (схеме).</w:t>
      </w:r>
    </w:p>
    <w:bookmarkEnd w:id="48"/>
    <w:bookmarkStart w:name="z1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Текстовая часть плана гражданской обороны оформляется в виде пояснительной записки.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2014 года № 258</w:t>
            </w:r>
          </w:p>
        </w:tc>
      </w:tr>
    </w:tbl>
    <w:bookmarkStart w:name="z3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</w:t>
      </w:r>
      <w:r>
        <w:br/>
      </w:r>
      <w:r>
        <w:rPr>
          <w:rFonts w:ascii="Times New Roman"/>
          <w:b/>
          <w:i w:val="false"/>
          <w:color w:val="000000"/>
        </w:rPr>
        <w:t>плана действий по ликвидации чрезвычайных ситуаций</w:t>
      </w:r>
      <w:r>
        <w:br/>
      </w:r>
      <w:r>
        <w:rPr>
          <w:rFonts w:ascii="Times New Roman"/>
          <w:b/>
          <w:i w:val="false"/>
          <w:color w:val="000000"/>
        </w:rPr>
        <w:t>Глава 1. Краткая географическая и экономическая характеристика области (города, района) и оценка возможной обстановки на ее территории при возникновении чрезвычайных ситуаций природного и техногенного характера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Министра внутренних дел РК от 02.05.2018 </w:t>
      </w:r>
      <w:r>
        <w:rPr>
          <w:rFonts w:ascii="Times New Roman"/>
          <w:b w:val="false"/>
          <w:i w:val="false"/>
          <w:color w:val="ff0000"/>
          <w:sz w:val="28"/>
        </w:rPr>
        <w:t>№ 335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Рельеф, климат, растительность, гидрография.</w:t>
      </w:r>
    </w:p>
    <w:bookmarkEnd w:id="51"/>
    <w:bookmarkStart w:name="z3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Административно-территориальное деление и населенные пункты.</w:t>
      </w:r>
    </w:p>
    <w:bookmarkEnd w:id="52"/>
    <w:bookmarkStart w:name="z3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Пути сообщения и транспорт.</w:t>
      </w:r>
    </w:p>
    <w:bookmarkEnd w:id="53"/>
    <w:bookmarkStart w:name="z3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возможной обстановки при возникновении чрезвычайных ситуаций природного и техногенного характера.</w:t>
      </w:r>
    </w:p>
    <w:bookmarkEnd w:id="54"/>
    <w:bookmarkStart w:name="z36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Мероприятия, проводимые при угрозе и возникновении чрезвычайных ситуаций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Министра внутренних дел РК от 02.05.2018 </w:t>
      </w:r>
      <w:r>
        <w:rPr>
          <w:rFonts w:ascii="Times New Roman"/>
          <w:b w:val="false"/>
          <w:i w:val="false"/>
          <w:color w:val="ff0000"/>
          <w:sz w:val="28"/>
        </w:rPr>
        <w:t>№ 335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Руководство мероприятиями гражданской защиты.</w:t>
      </w:r>
    </w:p>
    <w:bookmarkEnd w:id="56"/>
    <w:bookmarkStart w:name="z3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Оповещение органов управления гражданской защиты об угрозе и возникновении чрезвычайных ситуаций.</w:t>
      </w:r>
    </w:p>
    <w:bookmarkEnd w:id="57"/>
    <w:bookmarkStart w:name="z3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Мероприятия, проводимые при угрозе чрезвычайных ситуаций.</w:t>
      </w:r>
    </w:p>
    <w:bookmarkEnd w:id="58"/>
    <w:bookmarkStart w:name="z4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Мероприятия, проводимые при возникновении чрезвычайных ситуаций.</w:t>
      </w:r>
    </w:p>
    <w:bookmarkEnd w:id="59"/>
    <w:bookmarkStart w:name="z4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Организация проведения аварийно-спасательных и неотложных работ.</w:t>
      </w:r>
    </w:p>
    <w:bookmarkEnd w:id="60"/>
    <w:bookmarkStart w:name="z4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Эвакуационные мероприятия.</w:t>
      </w:r>
    </w:p>
    <w:bookmarkEnd w:id="61"/>
    <w:bookmarkStart w:name="z4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Организация взаимодействия.</w:t>
      </w:r>
    </w:p>
    <w:bookmarkEnd w:id="62"/>
    <w:bookmarkStart w:name="z4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Использование государственного резерва.</w:t>
      </w:r>
    </w:p>
    <w:bookmarkEnd w:id="63"/>
    <w:bookmarkStart w:name="z4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Организация управления и связи.</w:t>
      </w:r>
    </w:p>
    <w:bookmarkEnd w:id="64"/>
    <w:bookmarkStart w:name="z46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Мероприятия, проводимые по ликвидации последствий чрезвычайных ситуаций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Глава 3 в редакции приказа Министра внутренних дел РК от 02.05.2018 </w:t>
      </w:r>
      <w:r>
        <w:rPr>
          <w:rFonts w:ascii="Times New Roman"/>
          <w:b w:val="false"/>
          <w:i w:val="false"/>
          <w:color w:val="ff0000"/>
          <w:sz w:val="28"/>
        </w:rPr>
        <w:t>№ 335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 мероприятиям, проводимым по ликвидации последствий чрезвычайных ситуаций разрабатываются следующие приложения:</w:t>
      </w:r>
    </w:p>
    <w:bookmarkEnd w:id="66"/>
    <w:bookmarkStart w:name="z10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календарный план (в произвольной форме) основных мероприятий начальника гражданской обороны при угрозе и возникновении чрезвычайных ситуаций природного и техногенного характера;</w:t>
      </w:r>
    </w:p>
    <w:bookmarkEnd w:id="67"/>
    <w:bookmarkStart w:name="z10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расчет сил и средств гражданской защиты с пояснительной запиской (в произвольной форме);</w:t>
      </w:r>
    </w:p>
    <w:bookmarkEnd w:id="68"/>
    <w:bookmarkStart w:name="z10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расчет сил и средств гражданской защиты, привлекаемых для ликвидации последствий землетрясений в Республике Казахстан с пояснительной запиской (в произвольной форме);</w:t>
      </w:r>
    </w:p>
    <w:bookmarkEnd w:id="69"/>
    <w:bookmarkStart w:name="z11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схема организации связи и оповещения на мирное время (в произвольной форме);</w:t>
      </w:r>
    </w:p>
    <w:bookmarkEnd w:id="70"/>
    <w:bookmarkStart w:name="z11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карта подверженности территории чрезвычайным ситуациям природного и техногенного характера (в произвольной форме).</w:t>
      </w:r>
    </w:p>
    <w:bookmarkEnd w:id="7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