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fc951" w14:textId="05fc9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тарифов на сбор, вывоз, захоронение и утилизацию коммунальных отходов по Тюлькубасскому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Тюлькубасского районного маслихата Южно-Казахстанской области от 23 декабря 2014 года № 36/7-05. Зарегистрировано Департаментом юстиции Южно-Казахстанской области 16 января 2015 года № 2958. Утратило силу решением Тюлькубасского районного маслихата Южно-Казахстанской области от 25 января 2016 года № 48/6-05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Тюлькубасского районного маслихата Южно-Казахстанской области от 25.01.2016 № 48/6-05.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 </w:t>
      </w:r>
      <w:r>
        <w:rPr>
          <w:rFonts w:ascii="Times New Roman"/>
          <w:b w:val="false"/>
          <w:i w:val="false"/>
          <w:color w:val="000000"/>
          <w:sz w:val="28"/>
        </w:rPr>
        <w:t>статьи 19-1</w:t>
      </w:r>
      <w:r>
        <w:rPr>
          <w:rFonts w:ascii="Times New Roman"/>
          <w:b w:val="false"/>
          <w:i w:val="false"/>
          <w:color w:val="000000"/>
          <w:sz w:val="28"/>
        </w:rPr>
        <w:t xml:space="preserve"> Экологического кодекса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Тюлькубасский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тарифы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сбор, вывоз, захоронение и утилизацию коммунальных отходов по Тюлькубасскому району.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    С. Скляров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А. Сапаров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Тюлькубасского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маслихата от 23 декабря 2014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36/7-05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Тарифы на сбор, вывоз, захоронение и утилизацию коммунальных отходов по Тюлькубасскому району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68"/>
        <w:gridCol w:w="6059"/>
        <w:gridCol w:w="3349"/>
        <w:gridCol w:w="1724"/>
      </w:tblGrid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Расчетная единица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Цена, в тенге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сбор, вывоз коммунальных отходов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1.1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благоустроенные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домовладение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1.2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Домовладения неблагоустроенные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домовладение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1.3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Юридические лица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3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Тарифы на захоронение и утилизацию коммунальных отходов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90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2.1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физических лиц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555" w:hRule="atLeast"/>
        </w:trPr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2.2</w:t>
            </w:r>
          </w:p>
        </w:tc>
        <w:tc>
          <w:tcPr>
            <w:tcW w:w="60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юридических лиц</w:t>
            </w:r>
          </w:p>
        </w:tc>
        <w:tc>
          <w:tcPr>
            <w:tcW w:w="3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кубический метр</w:t>
            </w:r>
          </w:p>
        </w:tc>
        <w:tc>
          <w:tcPr>
            <w:tcW w:w="1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