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00f1" w14:textId="c1a0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и утверждения генеральных и бассейновых схем комплексного использования и охраны водных ресурсов и водохозяйственных балансов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30 марта 2015 года № 19-1/277. Зарегистрирован в Министерстве юстиции Республики Казахстан 1 июля 2015 года № 11524.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утверждения генеральных и бассейновых схем комплексного использования и охраны водных ресурсов и водохозяйственных балансов.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4"/>
              <w:gridCol w:w="4532"/>
            </w:tblGrid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приказом Министра сельского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хозяйства Республики Казахстан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30 марта 2015 года № 19-1/277</w:t>
                  </w:r>
                </w:p>
              </w:tc>
            </w:tr>
          </w:tbl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и утверждения генеральных и бассейновых схем</w:t>
      </w:r>
      <w:r>
        <w:br/>
      </w:r>
      <w:r>
        <w:rPr>
          <w:rFonts w:ascii="Times New Roman"/>
          <w:b/>
          <w:i w:val="false"/>
          <w:color w:val="000000"/>
        </w:rPr>
        <w:t>комплексного использования и охраны водных ресурсов и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балансов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разработки и утверждения генеральных и бассейновых схем комплексного использования и охраны водных ресурсов и водохозяйственных балансов (далее – Правила) разработаны в соответствии с подпунктом 7-10)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 и определяют порядок разработки и утверждения генеральных и </w:t>
      </w:r>
      <w:r>
        <w:rPr>
          <w:rFonts w:ascii="Times New Roman"/>
          <w:b w:val="false"/>
          <w:i w:val="false"/>
          <w:color w:val="000000"/>
          <w:sz w:val="28"/>
        </w:rPr>
        <w:t>бассейновых схем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комплексного использования и охраны водных ресурсов и </w:t>
      </w:r>
      <w:r>
        <w:rPr>
          <w:rFonts w:ascii="Times New Roman"/>
          <w:b w:val="false"/>
          <w:i w:val="false"/>
          <w:color w:val="000000"/>
          <w:sz w:val="28"/>
        </w:rPr>
        <w:t>водохозяйственных балансов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оперативный водохозяйственный баланс – ежегодная оценка фактического наличия вод и перераспределение водных ресурсов по водности текущего года для использования водопотребителями;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перспективный водохозяйственный баланс – прогноз количества водных ресурсов в водных объектах на перспективу, предназначенных для использования водопотребителями;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использования и охраны водного фонда, водоснабжения, водоотведения (далее – уполномоченный орган) – государственный орган, осуществляющий функции управления и контроля в области использования и охраны водного фонда, водоснабжения, водоотведения за пределами населенных пунктов;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генеральная схема комплексного использования и охраны водных ресурсов (далее – генеральная СКИОВР) – документ, определяющий основные водохозяйственные и другие мероприятия в целом по стране, подлежащие осуществлению для удовлетворения перспективных потребностей в воде населения и отраслей экономики, а также для охраны водных ресурсов или предотвращения их вредного воздействия;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бассейновая схема комплексного использования и охраны водных ресурсов (далее – бассейновая СКИОВР) – документ, определяющий мероприятия в целях обеспечения рационального использования и охраны водных ресурсов в целом по бассейну водного объекта или рассматриваемой территории;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ведомство уполномоченного органа – ведомство осуществляющее в пределах своей компетенции реализационные и контрольные функции в области использования и охраны водного фонда.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Разработка генеральной и бассейновой СКИОВР основывается на программных документах, направленных на решение экономических и социальных задач на длительную перспективу.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генеральной и бассейновой СКИОВР указываются количественные показатели водных ресурсов по рассматриваемым территориям и основным бассейнам рек,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водопотребления, водоотведения с учетом экологического и санитарно-эпидемиологического состояния водных объектов.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показателей вод и перспективных потребностей в воде осуществляется на основе данных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учета</w:t>
      </w:r>
      <w:r>
        <w:rPr>
          <w:rFonts w:ascii="Times New Roman"/>
          <w:b w:val="false"/>
          <w:i w:val="false"/>
          <w:color w:val="000000"/>
          <w:sz w:val="28"/>
        </w:rPr>
        <w:t>, водного кадастра и мониторинга водных объектов.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Генеральная и бассейновая СКИОВР разрабатываются на долгосрочный период не менее, чем на пятнадцать лет, с выделением показателей среднесрочных трехлетних этапов.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Намечаемые в генеральной и бассейновой СКИОВР мероприятия должны быть направлены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и экономное использование водных ресурсов на основе совершенствования технологии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маловодных и безводных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сокращение безвозвратных потерь водных ресурсов в оросительных системах и системах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возможное использование местных водных ресурсов за счет их регулирования, межбассейнового перераспределения речного стока, сокращения объемов сброса неочищенных сточных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предупреждение затопления и подтопления городов, населенных пунктов, сельскохозяйственных угодий и других объектов.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Разработка генеральной и бассейновых СКИОВР, </w:t>
      </w:r>
      <w:r>
        <w:rPr>
          <w:rFonts w:ascii="Times New Roman"/>
          <w:b w:val="false"/>
          <w:i w:val="false"/>
          <w:color w:val="000000"/>
          <w:sz w:val="28"/>
        </w:rPr>
        <w:t>водохозяйственного баланса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уполномоченным органом, за счет бюджетных средств с привлечением научных и специализированных проектных организаций при участии заинтересованных государственных органов.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разработки и утверждения генеральных и бассейновых</w:t>
      </w:r>
      <w:r>
        <w:br/>
      </w:r>
      <w:r>
        <w:rPr>
          <w:rFonts w:ascii="Times New Roman"/>
          <w:b/>
          <w:i w:val="false"/>
          <w:color w:val="000000"/>
        </w:rPr>
        <w:t>схем комплексного использования и охраны водных ресурсов и</w:t>
      </w:r>
      <w:r>
        <w:br/>
      </w:r>
      <w:r>
        <w:rPr>
          <w:rFonts w:ascii="Times New Roman"/>
          <w:b/>
          <w:i w:val="false"/>
          <w:color w:val="000000"/>
        </w:rPr>
        <w:t>водохозяйственных балансов</w:t>
      </w:r>
      <w:r>
        <w:br/>
      </w:r>
      <w:r>
        <w:rPr>
          <w:rFonts w:ascii="Times New Roman"/>
          <w:b/>
          <w:i w:val="false"/>
          <w:color w:val="000000"/>
        </w:rPr>
        <w:t>Параграф 1. Разработка и утверждение генеральных схем</w:t>
      </w:r>
      <w:r>
        <w:br/>
      </w:r>
      <w:r>
        <w:rPr>
          <w:rFonts w:ascii="Times New Roman"/>
          <w:b/>
          <w:i w:val="false"/>
          <w:color w:val="000000"/>
        </w:rPr>
        <w:t>комплексного использования и охраны водных ресурсов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Генеральная СКИОВР разрабатывается в целях решения комплексных задач водохозяйственных проблем на базе детальных исследований и в сравнении вариантов технико-экономических данных с учетом прогноза социально-экономического развития региона/бассейна и сохранения равновесия природных факторов.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 генеральной СКИОВР разрабатывается уполномоченным органом по согласованию с уполномоченными органами в сфере государственного планирования, индустриально-инновационной деятельности, транспорта и коммуникаций, государственного геологического изучения, рационального и комплексного использования недр, санитарно-эпидемиологического благополучия населения, регионального развития, управления земельными ресурсами и охраны окружающей среды и утверждается Правительством Республики Казахстан.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сельского хозяйства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19-1/1052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Проект генеральной СКИОВР в случае необходимости согласовывается с другими заинтересованными государственными органами и организациями.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Уполномоченный орган обеспечивает вынесение проекта генеральной СКИОВР до его утверждения на обсуждение общественности.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разработки генеральной СКИОВР не превышает трех лет.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Генеральная СКИОВР проходит процедуру уточнения и дополнения не реже, чем каждые три года после ее утверждения.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приказа Министра сельского хозяйства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19-1/1052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Разработка и утверждение бассейновых схем</w:t>
      </w:r>
      <w:r>
        <w:br/>
      </w:r>
      <w:r>
        <w:rPr>
          <w:rFonts w:ascii="Times New Roman"/>
          <w:b/>
          <w:i w:val="false"/>
          <w:color w:val="000000"/>
        </w:rPr>
        <w:t>комплексного использования и охраны водных ресурсов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Бассейновые водохозяйственные управления представляют в ведомство уполномоченного органа предложения по разработке бассейновых СКИОВР, в которых отражаются рекомендации участников </w:t>
      </w:r>
      <w:r>
        <w:rPr>
          <w:rFonts w:ascii="Times New Roman"/>
          <w:b w:val="false"/>
          <w:i w:val="false"/>
          <w:color w:val="000000"/>
          <w:sz w:val="28"/>
        </w:rPr>
        <w:t>бассейнового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общественности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Проект бассейновой СКИОВР разрабатывается и утверждается  ведомством уполномоченного органа по согласованию с местными исполнительными органами, территориальными подразделениями уполномоченных органов в сфере государственного планирования, индустриально-инновационной деятельности, транспорта и коммуникаций, государственного геологического изучения, рационального и комплексного использования недр, санитарно-эпидемиологического благополучия населения, регионального развития, управления земельными ресурсами и охраны окружающей среды, подконтрольные территории которых входят в рассматриваемый бассейн.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Срок разработки бассейновых СКИОВР не превышает двух лет.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Бассейновые СКИОВР проходят процедуру уточнения и дополнения не реже, чем каждые три года после их утверждения.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приказа Министра сельского хозяйства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19-1/1052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19. Бассейновая СКИОВР для трансграничных водных объектов разрабатывается с учетом требований международных договоров, участницей которых является Республика Казахстан.</w:t>
      </w:r>
    </w:p>
    <w:bookmarkEnd w:id="32"/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Разработка и утверждение водохозяйственных балансов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Водохозяйственные балансы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разрабатываются с целью оценки наличия и возможности использования водных ресурсов по бассейнам водных объектов, экономическим районам и республике в целом.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Водохозяйственные балансы подразделяются на оперативные и перспективные.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Оперативные водохозяйственные балансы по бассейнам водных объектов разрабатываются по итогам каждого года бассейновыми водохозяйственными управлениями и не позднее апреля месяца следующего года принимаются ведомством уполномоченного органа в составе их годовых отчетов.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Перспективный водохозяйственный баланс в целом по республике является составной частью генеральной СКИОВР и утверждается в ее составе.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неблагоприятной обстановки в отдельном бассейне водного объекта уполномоченный орган, в целях перераспределения водных ресурсов между водопотребителями и выявления возможности размещения новых производительных сил, принимает решение о разработке перспективного водохозяйственного баланса по соответствующему бассейну водного объекта.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