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5601" w14:textId="9ae5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районного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3 декабря 2015 года № 47/02. Зарегистрировано Департаментом юстиции Карагандинской области 28 декабря 2015 года № 3572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прилагаемые критерии по выбору видов отчуждения районного коммунального имущества (далее - Объект)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района Әли Асхата Сағадиұлы.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2015 года № 47/02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</w:t>
      </w:r>
      <w:r>
        <w:br/>
      </w:r>
      <w:r>
        <w:rPr>
          <w:rFonts w:ascii="Times New Roman"/>
          <w:b/>
          <w:i w:val="false"/>
          <w:color w:val="000000"/>
        </w:rPr>
        <w:t>по выбору видов отчуждения районного коммунального имущества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9496"/>
        <w:gridCol w:w="1695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заинтересованности государства в дальнейшем контроле над Объектом (условия не выставляются).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реализации Объекта по максимально возможной цене и привлечения широкого круга участников торгов.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установления условий продажи Объекта (сохранение профиля деятельности, погашение кредиторской задолженности, погашение задолженности по заработной плате и другие условия). Необходимость реализации Объекта по максимально возможной цене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коммерческого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Объекта требованиям фондовой биржи. Необходимость привлечения широкого круга участников торгов, включая иностранных инвесторов.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на фондовой бирже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реализации производных ценных бумаг, удостоверяющих права на акции акционерных обществ, принадлежащие государству.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производных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привлечения конультационных услуг по предпродажной подготовке Объектов приватизации и их продаже. Необходимость проведения конкурса с участием финансового советника, определяющего приоритет цены и (или) иных условий приватизации.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 путем двухэтапных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