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7f11" w14:textId="6627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 сессии Приозерского городского маслихата Карагандинской области от 22 декабря 2015 года № 47/357. Зарегистрировано Департаментом юстиции Карагандинской области 8 января 2016 года № 3599.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- 2387209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- 281960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- 13472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- 6429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- 2085348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- 2398701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минус 3499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- 3499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минус 7993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- 7993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28.11.2016 № 7/72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городского бюджета на 2016 год объем субвенций, передаваемых из областного бюджета в бюджет города, в сумме 672811 тысяч тенге.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(города областного значения) на 2016 год в сумме 78281 тысяч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28.11.2016 № 7/72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программ, не подлежащих секвестру в процессе исполнения бюджета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перечень местных бюджетных программ развития на 2016 год, направляемых на реализацию инвестиционных проектов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14.09.2016 № 4/41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Карабалаев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28.11.2016 № 7/72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bookmarkStart w:name="z22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2016 год, </w:t>
      </w:r>
      <w:r>
        <w:br/>
      </w:r>
      <w:r>
        <w:rPr>
          <w:rFonts w:ascii="Times New Roman"/>
          <w:b/>
          <w:i w:val="false"/>
          <w:color w:val="000000"/>
        </w:rPr>
        <w:t>направляемых на реализацию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14.09.2016 № 4/41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