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9395" w14:textId="b4093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февраля 2015 года № 41. Зарегистрировано Департаментом юстиции Костанайской области 12 марта 2015 года № 5416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24-7)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</w:p>
          <w:bookmarkEnd w:id="2"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внутреннего распорядка</w:t>
      </w:r>
      <w:r>
        <w:br/>
      </w:r>
      <w:r>
        <w:rPr>
          <w:rFonts w:ascii="Times New Roman"/>
          <w:b/>
          <w:i w:val="false"/>
          <w:color w:val="000000"/>
        </w:rPr>
        <w:t>
организации образования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разработаны в соответствии с подпунктом 24-7)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и являются основанием для разработки и утверждения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Типовые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разработаны в целях обеспечения единых подходов при разработке и утверждении правил внутреннего распорядка организации образования всех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образования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Внутренний распорядок организации образования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должны предусматриваться: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администрации организации образования и педагогов с обучающимися и воспитанниками и их родителями;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поведение участников учебно-воспитательного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для получения знаний, сохранения жизни и здоровья обучающихся и воспитанников, охраны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охраны труда и техники безопасности сотрудников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повышения профессиональной квалификации сотрудников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начала и окончания работы организации образования, перерывы между занятиями;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учебных занятий обучающихся и воспитанников.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