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1729" w14:textId="4ce1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критериев по выбору видов отчуждения коммунального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Амангельдинского района Костанайской области от 31 марта 2015 года № 53. Зарегистрировано Департаментом юстиции Костанайской области 5 мая 2015 года № 5584. Утратило силу постановлением акимата Амангельдинского района Костанайской области от 8 августа 2016 года № 177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Амангельдинского района Костанайской области от 08.08.2016 </w:t>
      </w:r>
      <w:r>
        <w:rPr>
          <w:rFonts w:ascii="Times New Roman"/>
          <w:b w:val="false"/>
          <w:i w:val="false"/>
          <w:color w:val="ff0000"/>
          <w:sz w:val="28"/>
        </w:rPr>
        <w:t>№ 177</w:t>
      </w:r>
      <w:r>
        <w:rPr>
          <w:rFonts w:ascii="Times New Roman"/>
          <w:b w:val="false"/>
          <w:i w:val="false"/>
          <w:color w:val="ff0000"/>
          <w:sz w:val="28"/>
        </w:rPr>
        <w:t>.</w:t>
      </w:r>
      <w:r>
        <w:br/>
      </w:r>
      <w:r>
        <w:rPr>
          <w:rFonts w:ascii="Times New Roman"/>
          <w:b w:val="false"/>
          <w:i w:val="false"/>
          <w:color w:val="000000"/>
          <w:sz w:val="28"/>
        </w:rPr>
        <w:t xml:space="preserve">
      В соответствии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9 августа 2011 года </w:t>
      </w:r>
      <w:r>
        <w:rPr>
          <w:rFonts w:ascii="Times New Roman"/>
          <w:b w:val="false"/>
          <w:i w:val="false"/>
          <w:color w:val="000000"/>
          <w:sz w:val="28"/>
        </w:rPr>
        <w:t>№ 920</w:t>
      </w:r>
      <w:r>
        <w:rPr>
          <w:rFonts w:ascii="Times New Roman"/>
          <w:b w:val="false"/>
          <w:i w:val="false"/>
          <w:color w:val="000000"/>
          <w:sz w:val="28"/>
        </w:rPr>
        <w:t xml:space="preserve"> "Об утверждении Правил продажи объектов приватизации" акимат Амангельдинского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Определить критерии по выбору видов отчуждения коммунального имущества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Амангельдинского района</w:t>
            </w:r>
            <w:r>
              <w:br/>
            </w:r>
            <w:r>
              <w:rPr>
                <w:rFonts w:ascii="Times New Roman"/>
                <w:b w:val="false"/>
                <w:i w:val="false"/>
                <w:color w:val="000000"/>
                <w:sz w:val="20"/>
              </w:rPr>
              <w:t xml:space="preserve">от 31 марта 2015 года № 53 </w:t>
            </w:r>
          </w:p>
        </w:tc>
      </w:tr>
    </w:tbl>
    <w:p>
      <w:pPr>
        <w:spacing w:after="0"/>
        <w:ind w:left="0"/>
        <w:jc w:val="left"/>
      </w:pPr>
      <w:r>
        <w:rPr>
          <w:rFonts w:ascii="Times New Roman"/>
          <w:b/>
          <w:i w:val="false"/>
          <w:color w:val="000000"/>
        </w:rPr>
        <w:t xml:space="preserve"> Критерии по выбору видов отчуждения</w:t>
      </w:r>
      <w:r>
        <w:br/>
      </w:r>
      <w:r>
        <w:rPr>
          <w:rFonts w:ascii="Times New Roman"/>
          <w:b/>
          <w:i w:val="false"/>
          <w:color w:val="000000"/>
        </w:rPr>
        <w:t>коммунального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0248"/>
        <w:gridCol w:w="1366"/>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критериев</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Виды отчуждения</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Отсутствие заинтересованности государства в дальнейшем контроле над объектом приватизации;</w:t>
            </w:r>
            <w:r>
              <w:br/>
            </w:r>
            <w:r>
              <w:rPr>
                <w:rFonts w:ascii="Times New Roman"/>
                <w:b w:val="false"/>
                <w:i w:val="false"/>
                <w:color w:val="000000"/>
                <w:sz w:val="20"/>
              </w:rPr>
              <w:t>
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реализации объекта приватизации по максимально возможной цене и привлечения широкого круга участников торгов;</w:t>
            </w:r>
            <w:r>
              <w:br/>
            </w:r>
            <w:r>
              <w:rPr>
                <w:rFonts w:ascii="Times New Roman"/>
                <w:b w:val="false"/>
                <w:i w:val="false"/>
                <w:color w:val="000000"/>
                <w:sz w:val="20"/>
              </w:rPr>
              <w:t>
реализации ценных бумаг, принадлежащих государству, при отсутствии заинтересованности государства в дальнейшем их контроле.</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торгов в форме аукциона</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получения денежных средств в бюджет от продажи объекта приватизации в установленные законодательством сроки;</w:t>
            </w:r>
            <w:r>
              <w:br/>
            </w:r>
            <w:r>
              <w:rPr>
                <w:rFonts w:ascii="Times New Roman"/>
                <w:b w:val="false"/>
                <w:i w:val="false"/>
                <w:color w:val="000000"/>
                <w:sz w:val="20"/>
              </w:rPr>
              <w:t>
необходимость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необходимость реализации объекта приватизации по максимально возможной цене;</w:t>
            </w:r>
            <w:r>
              <w:br/>
            </w:r>
            <w:r>
              <w:rPr>
                <w:rFonts w:ascii="Times New Roman"/>
                <w:b w:val="false"/>
                <w:i w:val="false"/>
                <w:color w:val="000000"/>
                <w:sz w:val="20"/>
              </w:rPr>
              <w:t>
реализации ценных бумаг, принадлежащих государству,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 (сохранение профиля деятельности, погашение кредиторской задолженности, погашение задолженности по заработной плате и другие условия).</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торгов в форме коммерческого тендера</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сохранения на определенный период времени контроля государства за выполнением условий договора доверительного управления, имущественного найма (аренды) с правом последующего выкупа доверительным управляющим, нанимателем (арендатором).</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Прямая адресная продажа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