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7c59" w14:textId="66f7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индекса качества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9 ноября 2016 года № 260. Зарегистрирован в Министерстве юстиции Республики Казахстан 8 декабря 2016 года № 14494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индекса качества жизни.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статистики труда и уровня жизни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в бумажном и электронном виде в течении десяти календарных дней со дня государственной регистрации;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размещение настоящего приказа на интернет-ресурсе Комитета по статистике Министерства национальной экономики Республики Казахстан.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Управлению статистики труда и уровня жизни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(Орунханов К.К.).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2016 года № 260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индекса качества жизни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Методика расчета индекса качества жизни (далее - Методика) относится к статистической методологии,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(далее - Закон).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Методика определяет основные аспекты формирования расчета индекса качества жизни (далее - ИКЖ).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Настоящая Методика применяется Комитетом по статистике Министерства Национальной экономики Республики Казахстан (далее - Комитет) и его территориальными органами при произведении расчетов индекса качества жизни по Республике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Методика разработана с учетом методологии расчета ИКЖ Организации экономического сотрудничества и развития (далее - ОЭСР).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Аспекты измерения индекса качества жизни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концептуальных основах настоящей Методики предусмотрено 11 аспектов измерения: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физических условий жизни: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финансовое благосостояние и доход;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работа и заработная плата;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жилищные условия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качества жизни: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состояние здоровья;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баланс между работой и личной жизнью;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образование и навыки;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гражданские права и власть;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общественные взаимоотношения;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качество окружающей среды;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личная безопасность;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субъективное благополучие.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Финансовое благосостояние и доход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Финансовое благосостояние семьи складывается из общей стоимости финансового состояния семьи или суммы всех финансовых активов за вычетом задолженностей. Финансовое благосостояние включает в себя сбережения, монетарное золото, валюту и депозиты, акции, ценные бумаги и займы.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Чистое финансовое благосостояние состоит из различных финансовых активов, принадлежащих домохозяйствам за вычетом всех видов финансовых обязательств.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22098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– чистое финансовое благосостояние;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финансовые активы;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финансовые обязательства.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Финансовые активы являются существенным источником дохода. Доход получают посредством продажи или рефинансирования финансовых активов, а также ренты, получения процентов и дивидендов или каких-либо других доходов от имущества.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недоступности информации о недвижимом имуществе, данные о его наличии не учитываются.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Чистый скорректированный располагаемый доход домохозяйства включает доход от труда, собственности, расчетную ренту, начисленную владельцам домов, социальные выплаты в денежной форме за вычетом прямых налогов и взносов в фонды социального обеспечения, взимаемых с домохозяйств, социальные трансферты в натуральной форме. Доход измеряется без учета обесценивания основного капитала, запускающего производство платных услуг домохозяйства для собственных нужд.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63500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(2)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876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оплата труда наемных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812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другие налоги на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ВП + ВСД - валовая прибыль и валовой смешанный доход;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ПОК - потребление основного капитала;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ЧП + ЧСД - чистая прибыль и чистый смешанный доход.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Работа и заработная плата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Работа и заработная плата, включает четыре направления: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обеспеченность работой,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личные заработки,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уровень долгосрочной безработицы,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уровень занятости.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Обеспеченность работой оценивается как доля наемных лиц с опытом работы менее 6 месяцев за последний отчетный год в возрасте от 15 до 63 лет и определяется по следующей формуле: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23495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</w:t>
      </w:r>
      <w:r>
        <w:rPr>
          <w:rFonts w:ascii="Times New Roman"/>
          <w:b w:val="false"/>
          <w:i w:val="false"/>
          <w:color w:val="000000"/>
          <w:vertAlign w:val="subscript"/>
        </w:rPr>
        <w:t>&lt;</w:t>
      </w:r>
      <w:r>
        <w:rPr>
          <w:rFonts w:ascii="Times New Roman"/>
          <w:b w:val="false"/>
          <w:i w:val="false"/>
          <w:color w:val="000000"/>
          <w:vertAlign w:val="subscript"/>
        </w:rPr>
        <w:t>6мес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доля наемных лиц с опытом работы менее 6 месяцев, последний отчетный год;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</w:t>
      </w:r>
      <w:r>
        <w:rPr>
          <w:rFonts w:ascii="Times New Roman"/>
          <w:b w:val="false"/>
          <w:i w:val="false"/>
          <w:color w:val="000000"/>
          <w:vertAlign w:val="subscript"/>
        </w:rPr>
        <w:t>&lt;</w:t>
      </w:r>
      <w:r>
        <w:rPr>
          <w:rFonts w:ascii="Times New Roman"/>
          <w:b w:val="false"/>
          <w:i w:val="false"/>
          <w:color w:val="000000"/>
          <w:vertAlign w:val="subscript"/>
        </w:rPr>
        <w:t>6мес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численность занятых с опытом работы менее 6 месяцев;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 - общее количество занятых лиц.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Личный заработок рассчитывается из среднегодового заработка сотрудника, работающего на полную ставку за последний отчетный год.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1866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(4)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Зараб</w:t>
      </w:r>
      <w:r>
        <w:rPr>
          <w:rFonts w:ascii="Times New Roman"/>
          <w:b w:val="false"/>
          <w:i w:val="false"/>
          <w:color w:val="000000"/>
          <w:vertAlign w:val="subscript"/>
        </w:rPr>
        <w:t>личн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личные заработки;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ВДС - валовая добавленная стоимость;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ЧП - чистая прибыль и чистый смешанный доход;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</w:t>
      </w:r>
      <w:r>
        <w:rPr>
          <w:rFonts w:ascii="Times New Roman"/>
          <w:b w:val="false"/>
          <w:i w:val="false"/>
          <w:color w:val="000000"/>
          <w:vertAlign w:val="subscript"/>
        </w:rPr>
        <w:t>нас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численность населения.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Уровень долгосрочной безработицы определяется как процентное соотношение людей в возрасте от 15 до 63 лет, не работающие, но активно занимались поиском работы в течение более одного года.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14986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(5)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УДБ - уровень долгосрочной безработицы;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Безр</w:t>
      </w:r>
      <w:r>
        <w:rPr>
          <w:rFonts w:ascii="Times New Roman"/>
          <w:b w:val="false"/>
          <w:i w:val="false"/>
          <w:color w:val="000000"/>
          <w:vertAlign w:val="subscript"/>
        </w:rPr>
        <w:t>15-63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безработных людей в возрасте от 15 до 63 лет в отчетном году;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ЧН</w:t>
      </w:r>
      <w:r>
        <w:rPr>
          <w:rFonts w:ascii="Times New Roman"/>
          <w:b w:val="false"/>
          <w:i w:val="false"/>
          <w:color w:val="000000"/>
          <w:vertAlign w:val="subscript"/>
        </w:rPr>
        <w:t>15-63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общее количество людей в возрасте от 15 до 63 лет в отчетном году.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Уровень занятости находится как процентное соотношение людей в возрасте от 15 до 63 лет, в настоящий момент имеющих оплачиваемую работу, последний отчетный год.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21590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(6)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УЗ - уровень занятых;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</w:t>
      </w:r>
      <w:r>
        <w:rPr>
          <w:rFonts w:ascii="Times New Roman"/>
          <w:b w:val="false"/>
          <w:i w:val="false"/>
          <w:color w:val="000000"/>
          <w:vertAlign w:val="subscript"/>
        </w:rPr>
        <w:t>15-63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занятых людей в возрасте от 15 до 63 лет в отчетном году;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 нас</w:t>
      </w:r>
      <w:r>
        <w:rPr>
          <w:rFonts w:ascii="Times New Roman"/>
          <w:b w:val="false"/>
          <w:i w:val="false"/>
          <w:color w:val="000000"/>
          <w:vertAlign w:val="subscript"/>
        </w:rPr>
        <w:t>15-63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общее количество людей в возрасте от 15 до 63 лет в отчетном году.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Жилищные условия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Наличие жилья надлежащего уровня является наивысшим приоритетом для удовлетворения материальных потребностей человека. Жилье является крупнейшим компонентом расходной статьи многих семей и центральным компонентом для удовлетворения основных людских потребностей. Данный аспект включает три направления: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расходы на жилье;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жилье с основными коммунальными удобствами;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количество комнат на человека.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Расходы на жилье представляют собой самую крупную статью расходов бюджета семей, включая аренду, оплату за газ, электричество, воду, расходы на мебель и ремонт. Соотношение расходов на жилье и чистого скорректированного дохода после уплаты налогов, последний отчетный год: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19558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(7)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 </w:t>
      </w:r>
      <w:r>
        <w:rPr>
          <w:rFonts w:ascii="Times New Roman"/>
          <w:b w:val="false"/>
          <w:i w:val="false"/>
          <w:color w:val="000000"/>
          <w:vertAlign w:val="subscript"/>
        </w:rPr>
        <w:t>расх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доля расходов на жилье;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на </w:t>
      </w:r>
      <w:r>
        <w:rPr>
          <w:rFonts w:ascii="Times New Roman"/>
          <w:b w:val="false"/>
          <w:i w:val="false"/>
          <w:color w:val="000000"/>
          <w:vertAlign w:val="subscript"/>
        </w:rPr>
        <w:t>содерж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жилья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расходы на содержание жилья;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</w:t>
      </w:r>
      <w:r>
        <w:rPr>
          <w:rFonts w:ascii="Times New Roman"/>
          <w:b w:val="false"/>
          <w:i w:val="false"/>
          <w:color w:val="000000"/>
          <w:vertAlign w:val="subscript"/>
        </w:rPr>
        <w:t>чист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скорр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чистый скорректированный доход.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Доступ к коммунальным удобствам определяется процентным соотношением людей имеющих сливные туалеты внутри дома за последний отчетный год.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Условия проживания характеризует показатель количество комнат в жилом помещении, разделенное на число проживающих в нем лиц: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9652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(8)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КЧ - Комната на человек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КК - количество комнат в жилом помещении;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ЧП - число проживающих в помещении.</w:t>
      </w:r>
    </w:p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Состояние здоровья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Состояние здоровья играет важную роль для достижения других компонентов благосостояния, таких как наличие хорошей работы и достаточного дохода, чтобы участвовать в общественной жизни в качестве полноправных граждан, общаться с другими людьми, получать среднее и высшее образование. Данный аспект включает два направления: 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самооценка состояния здоровья; 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продолжительность жизни.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Показатель удовлетворенности состоянием здоровья формируется на основе данных общегосударственных статистических наблюдений.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Ожидаемая продолжительность жизни населения при рождении характеризует продолжительность жизни не отдельного индивидума, а населения в целом. </w:t>
      </w:r>
    </w:p>
    <w:bookmarkEnd w:id="99"/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Баланс между работой и личной жизнью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Правильный баланс между рабочими обязательствами и частной жизнью является центральным компонентом для обеспечения благополучия людей. Большой объем работы оказывает косвенное негативное влияние на благополучие, вследствие ухудшения состояния здоровья, ущемлений в личной жизни, ограничений в деятельности по уходу за детьми и другими родственниками, сокращении свободного времени. Данный аспект характеризуют: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время, посвященное отдыху и уходу за собой,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сотрудники, посвящающие работе много времени.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Доля работников, работающих за плату более чем 50 часов в неделю, определяется по следующей формуле: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20955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(9)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</w:t>
      </w:r>
      <w:r>
        <w:rPr>
          <w:rFonts w:ascii="Times New Roman"/>
          <w:b w:val="false"/>
          <w:i w:val="false"/>
          <w:color w:val="000000"/>
          <w:vertAlign w:val="subscript"/>
        </w:rPr>
        <w:t>50</w:t>
      </w:r>
      <w:r>
        <w:rPr>
          <w:rFonts w:ascii="Times New Roman"/>
          <w:b w:val="false"/>
          <w:i w:val="false"/>
          <w:color w:val="000000"/>
          <w:vertAlign w:val="subscript"/>
        </w:rPr>
        <w:t>ч&lt; -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доля работников, занятых более 50 часов в неделю;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ЧР</w:t>
      </w:r>
      <w:r>
        <w:rPr>
          <w:rFonts w:ascii="Times New Roman"/>
          <w:b w:val="false"/>
          <w:i w:val="false"/>
          <w:color w:val="000000"/>
          <w:vertAlign w:val="subscript"/>
        </w:rPr>
        <w:t>50</w:t>
      </w:r>
      <w:r>
        <w:rPr>
          <w:rFonts w:ascii="Times New Roman"/>
          <w:b w:val="false"/>
          <w:i w:val="false"/>
          <w:color w:val="000000"/>
          <w:vertAlign w:val="subscript"/>
        </w:rPr>
        <w:t>ч&lt;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численность работников, занятых более 50 часов в неделю;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 - занятое население.</w:t>
      </w:r>
    </w:p>
    <w:bookmarkEnd w:id="109"/>
    <w:bookmarkStart w:name="z1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Образование и навыки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Показатели результатов образования, используемые в расчете ИКЖ, относятся к уровню образования взрослого населения и грамотности 15-летних учащихся. Данный аспект включает три направления: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количество лет для получения образования;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знания студентов (учеников) в области математики, точных наук и качество чтения;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уровень образования взрослого населения.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Средняя продолжительность образования (начиная с пятилетнего возраста) определяется по следующей формуле: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</w:t>
      </w:r>
      <w:r>
        <w:rPr>
          <w:rFonts w:ascii="Times New Roman"/>
          <w:b w:val="false"/>
          <w:i w:val="false"/>
          <w:color w:val="000000"/>
          <w:vertAlign w:val="subscript"/>
        </w:rPr>
        <w:t>обр</w:t>
      </w:r>
      <w:r>
        <w:rPr>
          <w:rFonts w:ascii="Times New Roman"/>
          <w:b w:val="false"/>
          <w:i w:val="false"/>
          <w:color w:val="000000"/>
          <w:sz w:val="28"/>
        </w:rPr>
        <w:t xml:space="preserve"> = ДО + НО + СО + ВО                  (10)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</w:t>
      </w:r>
      <w:r>
        <w:rPr>
          <w:rFonts w:ascii="Times New Roman"/>
          <w:b w:val="false"/>
          <w:i w:val="false"/>
          <w:color w:val="000000"/>
          <w:vertAlign w:val="subscript"/>
        </w:rPr>
        <w:t>обр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продолжительность образования;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 - дошкольное образование;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 - начальное образование;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 - среднее образование;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 - высшее образование.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Способность 15-летних учащихся понимать, использовать, размышлять и взаимодействовать с письменными текстами для достижения своих собственных целей, развивать знания и потенциал. Данный показатель взят из Международной программы ОЭСР по оценке образовательных достижений учащихся, где основное внимание уделялось чтению.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15240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(11)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ЗнСУ - знание студентов/учеников;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Мг - математическая грамотность;</w:t>
      </w:r>
    </w:p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Ег - естественнонаучная грамотность;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Чг - читательская грамотность.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Уровень образования взрослого населения измеряется с помощью образовательных квалификаций и определяется как доля взрослого населения (от 25 до 64 лет), окончившего, по меньшей мере, старшие классы средней школы согласно классификации ОЭСР - Международная стандартная классификация образования.</w:t>
      </w:r>
    </w:p>
    <w:bookmarkEnd w:id="128"/>
    <w:bookmarkStart w:name="z14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Гражданские права и власть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Ключевые показатели по гражданским правам и власти, представленные ниже, относятся к активности избирателей и наличию формальных и открытых консультативных процессов. Данный аспект включает два направления: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уровень прозрачности власти;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активность избирателей.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Показатель по уровню прозрачности власти при разработке законодательства представляет собой композитный индекс, суммирующий различные источники информации касательно открытости и прозрачности власти.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Показатель активность избирателей измеряет степень участия в национальных выборах. По числу голосов, отданных населением, зарегистрированных для участия в голосовании определяют активность избирателей. К населению, достигшему возраста, дающего право участвовать в голосовании, относятся люди в возрасте 18 лет или старше, к зарегистрированному населению относятся лица, перечисленные в реестре избирателей. Отданные голоса собираются национальной избирательной комиссией.</w:t>
      </w:r>
    </w:p>
    <w:bookmarkEnd w:id="134"/>
    <w:bookmarkStart w:name="z14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Общественные взаимоотношения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Общественные взаимоотношения или социальные связи являются важнейшим фактором, определяющим благополучие человека. Времяпровождение приносит большее удовлетворение, когда тратится совместно с другими людьми (в кругу семьи, друзей или коллег). Социальные связи предоставляют материальную и эмоциональную поддержку в случае необходимости. Данный аспект характеризуют частота общения с другими людьми и нематериальная поддержка в рамках круга общения.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показателям социальных связей относятся: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доля респондентов, заявивших, что они общаются/встречаются с родственниками либо друзьями не менее одного раза в неделю; 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процентное соотношение людей, имеющих друзей или родственников.</w:t>
      </w:r>
    </w:p>
    <w:bookmarkEnd w:id="139"/>
    <w:bookmarkStart w:name="z15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Качество окружающей среды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Влияние загрязняющих веществ на здоровье людей является значительным и качество окружающей среды является ключевым компонентом качества жизни населения. Данный аспект включает два направления: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качество воды;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уровень загрязненности воздуха.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Качество воды определяется через процентное соотношение людей сообщающих о своей удовлетворенности качеством местной воды.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Показатель уровень загрязнения воздуха отражается как средний показатель, взвешенный по численности населения, демонстрирующий концентрацию мелких частиц в воздухе (измеряется в микрограммах на кубический метр). Измерение уровня загрязнения воздуха представляет собой сложный процесс, поскольку качество воздуха обуславливается сложной смесью загрязняющих веществ, варьирующийся под воздействием таких факторов, как время, пространство и химические вещества.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28956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(12)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УЗВ - уровень загрязнения воздуха;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Числ/насел</w:t>
      </w:r>
      <w:r>
        <w:rPr>
          <w:rFonts w:ascii="Times New Roman"/>
          <w:b w:val="false"/>
          <w:i w:val="false"/>
          <w:color w:val="000000"/>
          <w:vertAlign w:val="subscript"/>
        </w:rPr>
        <w:t>&gt;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bscript"/>
        </w:rPr>
        <w:t>00тыс чел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численность отдельных населенных пунктов с населением более 100 тысяч человек;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ЧВ </w:t>
      </w:r>
      <w:r>
        <w:rPr>
          <w:rFonts w:ascii="Times New Roman"/>
          <w:b w:val="false"/>
          <w:i w:val="false"/>
          <w:color w:val="000000"/>
          <w:vertAlign w:val="subscript"/>
        </w:rPr>
        <w:t>этих нас пунктов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численность всего этих населенных пунктов с населением более 100 тысяч человек.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СКВЧ - средняя концентрация взвешенных частиц этих городов.</w:t>
      </w:r>
    </w:p>
    <w:bookmarkEnd w:id="151"/>
    <w:bookmarkStart w:name="z16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Личная безопасность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Личная безопасность – это ключевая составляющая благополучия, и риск человека стать жертвой преступления является одним из основных факторов, формирующих личную безопасность. Преступление может привести к смерти или утрате имущества, а также вызвать физическую боль, посттравматический стресс или ощущение страха. Одним из самых сильных воздействий совершенного преступления на благополучие человека является развитие у него чувства уязвимости. Данный аспект измерения благополучия представлен показателями: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количество зарегистрированных преднамеренных убийств на 100 000 человек населения;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процент людей, заявивших, что они стали жертвами нападений в течение последних 12 месяцев.</w:t>
      </w:r>
    </w:p>
    <w:bookmarkEnd w:id="155"/>
    <w:bookmarkStart w:name="z16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Субъективное благополучие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Показатели удовлетворенности жизнью позволяют также понять расхождение между объективными условиями жизни людей и их собственной оценкой данных условий. Данный аспект включает одно направление – удовлетворенность жизнью.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Показатель субъективного благополучия показывает общую удовлетворенность жизнью опрашиваемого населения.</w:t>
      </w:r>
    </w:p>
    <w:bookmarkEnd w:id="158"/>
    <w:bookmarkStart w:name="z17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обобщающего индекса качества жизни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Расчет обобщающего показателя ИКЖ отражен в следующей формуле: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61"/>
    <w:p>
      <w:pPr>
        <w:spacing w:after="0"/>
        <w:ind w:left="0"/>
        <w:jc w:val="both"/>
      </w:pPr>
      <w:r>
        <w:drawing>
          <wp:inline distT="0" distB="0" distL="0" distR="0">
            <wp:extent cx="63500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(13)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