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381c" w14:textId="40038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национальной экономики Республики Казахстан</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22 ноября 2016 года № 480. Зарегистрирован в Министерстве юстиции Республики Казахстан 22 декабря 2016 года № 14553</w:t>
      </w:r>
    </w:p>
    <w:p>
      <w:pPr>
        <w:spacing w:after="0"/>
        <w:ind w:left="0"/>
        <w:jc w:val="both"/>
      </w:pPr>
      <w:r>
        <w:rPr>
          <w:rFonts w:ascii="Times New Roman"/>
          <w:b w:val="false"/>
          <w:i w:val="false"/>
          <w:color w:val="000000"/>
          <w:sz w:val="28"/>
        </w:rPr>
        <w:t>
      О внесении изменений и дополнений в некоторые приказы Министра национальной экономики Республики Казахстан</w:t>
      </w:r>
    </w:p>
    <w:bookmarkStart w:name="z3" w:id="0"/>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национальной экономики Республики Казахстан, в которые вносятся изменения и дополнения.</w:t>
      </w:r>
    </w:p>
    <w:bookmarkEnd w:id="1"/>
    <w:bookmarkStart w:name="z5" w:id="2"/>
    <w:p>
      <w:pPr>
        <w:spacing w:after="0"/>
        <w:ind w:left="0"/>
        <w:jc w:val="both"/>
      </w:pPr>
      <w:r>
        <w:rPr>
          <w:rFonts w:ascii="Times New Roman"/>
          <w:b w:val="false"/>
          <w:i w:val="false"/>
          <w:color w:val="000000"/>
          <w:sz w:val="28"/>
        </w:rPr>
        <w:t>
      2. Департаменту бюджетных инвестиций и развития государственно-частного партнерства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для включения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5"/>
    <w:bookmarkStart w:name="z9"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6"/>
    <w:bookmarkStart w:name="z10" w:id="7"/>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p>
    <w:bookmarkEnd w:id="7"/>
    <w:bookmarkStart w:name="z11"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Бишимбаев</w:t>
            </w:r>
            <w:r>
              <w:rPr>
                <w:rFonts w:ascii="Times New Roman"/>
                <w:b w:val="false"/>
                <w:i w:val="false"/>
                <w:color w:val="000000"/>
                <w:sz w:val="20"/>
              </w:rPr>
              <w:t>
</w:t>
            </w:r>
          </w:p>
        </w:tc>
      </w:tr>
    </w:tbl>
    <w:bookmarkStart w:name="z13"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 Б. Султанов</w:t>
      </w:r>
      <w:r>
        <w:br/>
      </w:r>
      <w:r>
        <w:rPr>
          <w:rFonts w:ascii="Times New Roman"/>
          <w:b w:val="false"/>
          <w:i w:val="false"/>
          <w:color w:val="000000"/>
          <w:sz w:val="28"/>
        </w:rPr>
        <w:t>22 ноября 2016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2016 года № 480</w:t>
            </w:r>
          </w:p>
        </w:tc>
      </w:tr>
    </w:tbl>
    <w:bookmarkStart w:name="z15" w:id="10"/>
    <w:p>
      <w:pPr>
        <w:spacing w:after="0"/>
        <w:ind w:left="0"/>
        <w:jc w:val="left"/>
      </w:pPr>
      <w:r>
        <w:rPr>
          <w:rFonts w:ascii="Times New Roman"/>
          <w:b/>
          <w:i w:val="false"/>
          <w:color w:val="000000"/>
        </w:rPr>
        <w:t xml:space="preserve"> Перечень некоторых приказов Министра национальной экономики Республики Казахстан, в которые вносятся изменения и дополнения</w:t>
      </w:r>
    </w:p>
    <w:bookmarkEnd w:id="10"/>
    <w:bookmarkStart w:name="z16" w:id="1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25 ноября 2015 года № 713 "Об утверждении Правил приема объектов государственно-частного партнерства в государственную собственность" (зарегистрированный в Реестре государственной регистрации нормативных правовых актов за № 12487, опубликованный в информационно-правовой системе "Әділет" 31 декабря 2015 года) следующие изменения:</w:t>
      </w:r>
    </w:p>
    <w:bookmarkEnd w:id="11"/>
    <w:bookmarkStart w:name="z17"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приема объектов государственно-частного партнерства в государственную собственность, утвержденных указанным приказом (далее – Правила):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пункта 2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"5. В случае, если по объекту ГЧП осуществляется компенсация инвестиционных затрат, то объект ГЧП подлежит передаче в государственную собственность.";</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"9. Частный партнер в течение тридцати рабочих дней с момента наступления срока передачи объекта ГЧП в государственную собственность в соответствии с условиями договора ГЧП, обращается в уполномоченный государственный орган соответствующей отрасли – в отношении объектов ГЧП, относящихся к республиканской собственности или местные исполнительные органы областей (города республиканского значения, столицы) – в отношении объектов ГЧП, относящихся к коммунальной собственности, с заявлением о передаче объекта в государственную собственность.</w:t>
      </w:r>
    </w:p>
    <w:bookmarkEnd w:id="14"/>
    <w:bookmarkStart w:name="z23" w:id="15"/>
    <w:p>
      <w:pPr>
        <w:spacing w:after="0"/>
        <w:ind w:left="0"/>
        <w:jc w:val="both"/>
      </w:pPr>
      <w:r>
        <w:rPr>
          <w:rFonts w:ascii="Times New Roman"/>
          <w:b w:val="false"/>
          <w:i w:val="false"/>
          <w:color w:val="000000"/>
          <w:sz w:val="28"/>
        </w:rPr>
        <w:t xml:space="preserve">
      Если иное не установлено договором ГЧП, моментом наступления срока передачи объекта ГЧП в государственную собственность является дата утверждения акта приемки объекта в эксплуатацию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73 Закона Республики Казахстан "Об архитектурной, градостроительной и строительной деятельности в Республике Казахстан".</w:t>
      </w:r>
    </w:p>
    <w:bookmarkEnd w:id="15"/>
    <w:bookmarkStart w:name="z24" w:id="16"/>
    <w:p>
      <w:pPr>
        <w:spacing w:after="0"/>
        <w:ind w:left="0"/>
        <w:jc w:val="both"/>
      </w:pPr>
      <w:r>
        <w:rPr>
          <w:rFonts w:ascii="Times New Roman"/>
          <w:b w:val="false"/>
          <w:i w:val="false"/>
          <w:color w:val="000000"/>
          <w:sz w:val="28"/>
        </w:rPr>
        <w:t>
      Частный партнер вместе с заявлением представляет документы, согласно Перечню документов, представляемых частным партнером при приеме объектов государственно-частного партнерства в государственную собственность согласно приложению к настоящим Правилам в уполномоченный государственный орган соответствующей отрасли или местные исполнительные органы областей (города республиканского значения, столицы) для передачи объектов ГЧП в государственную собственность.</w:t>
      </w:r>
    </w:p>
    <w:bookmarkEnd w:id="16"/>
    <w:bookmarkStart w:name="z25" w:id="17"/>
    <w:p>
      <w:pPr>
        <w:spacing w:after="0"/>
        <w:ind w:left="0"/>
        <w:jc w:val="both"/>
      </w:pPr>
      <w:r>
        <w:rPr>
          <w:rFonts w:ascii="Times New Roman"/>
          <w:b w:val="false"/>
          <w:i w:val="false"/>
          <w:color w:val="000000"/>
          <w:sz w:val="28"/>
        </w:rPr>
        <w:t>
      Частный партнер обеспечивает передачу объекта ГЧП государственному партнеру в надлежащем техническом состоянии.";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Перечень</w:t>
      </w:r>
      <w:r>
        <w:rPr>
          <w:rFonts w:ascii="Times New Roman"/>
          <w:b w:val="false"/>
          <w:i w:val="false"/>
          <w:color w:val="000000"/>
          <w:sz w:val="28"/>
        </w:rPr>
        <w:t xml:space="preserve"> документов, представляемых частным партнером при приеме объектов государственно-частного партнерства в государственную собственность согласно приложению к настоящим Правилам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27" w:id="18"/>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25 ноября 2015 года № 725 "О некоторых вопросах планирования и реализации проектов государственно-частного партнерства" (зарегистрированный в Реестре государственной регистрации нормативных правовых актов за № 12717, опубликованный в информационно-правовой системе "Әділет" 4 февраля 2016 года) следующие изменения и дополнения:</w:t>
      </w:r>
    </w:p>
    <w:bookmarkEnd w:id="18"/>
    <w:bookmarkStart w:name="z28"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планирования и реализации проектов государственно-частного партнерства, утвержденных указанным приказом (далее – Правила):</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0" w:id="20"/>
    <w:p>
      <w:pPr>
        <w:spacing w:after="0"/>
        <w:ind w:left="0"/>
        <w:jc w:val="both"/>
      </w:pPr>
      <w:r>
        <w:rPr>
          <w:rFonts w:ascii="Times New Roman"/>
          <w:b w:val="false"/>
          <w:i w:val="false"/>
          <w:color w:val="000000"/>
          <w:sz w:val="28"/>
        </w:rPr>
        <w:t xml:space="preserve">
      "6. Допускается одновременное (параллельное) осуществление экспертизы и согласования документов, указанных </w:t>
      </w:r>
      <w:r>
        <w:rPr>
          <w:rFonts w:ascii="Times New Roman"/>
          <w:b w:val="false"/>
          <w:i w:val="false"/>
          <w:color w:val="000000"/>
          <w:sz w:val="28"/>
        </w:rPr>
        <w:t>в пункте 5</w:t>
      </w:r>
      <w:r>
        <w:rPr>
          <w:rFonts w:ascii="Times New Roman"/>
          <w:b w:val="false"/>
          <w:i w:val="false"/>
          <w:color w:val="000000"/>
          <w:sz w:val="28"/>
        </w:rPr>
        <w:t xml:space="preserve"> настоящих Правил, за исключением осуществления согласования центральным либо местным уполномоченным органом по государственному планированию.</w:t>
      </w:r>
    </w:p>
    <w:bookmarkEnd w:id="20"/>
    <w:bookmarkStart w:name="z31" w:id="21"/>
    <w:p>
      <w:pPr>
        <w:spacing w:after="0"/>
        <w:ind w:left="0"/>
        <w:jc w:val="both"/>
      </w:pPr>
      <w:r>
        <w:rPr>
          <w:rFonts w:ascii="Times New Roman"/>
          <w:b w:val="false"/>
          <w:i w:val="false"/>
          <w:color w:val="000000"/>
          <w:sz w:val="28"/>
        </w:rPr>
        <w:t xml:space="preserve">
      В случаях, когда по проекту ГЧП не планируются меры государственной поддержки и выплаты из бюджета, допускается проведение экспертизы концепции проекта ГЧП, конкурсной документации, включая ПСД или ТЭО проекта ГЧП (при их наличии) по местным проектам ГЧП, в случаях, установленных подпунктом 8) </w:t>
      </w:r>
      <w:r>
        <w:rPr>
          <w:rFonts w:ascii="Times New Roman"/>
          <w:b w:val="false"/>
          <w:i w:val="false"/>
          <w:color w:val="000000"/>
          <w:sz w:val="28"/>
        </w:rPr>
        <w:t>статьи 25</w:t>
      </w:r>
      <w:r>
        <w:rPr>
          <w:rFonts w:ascii="Times New Roman"/>
          <w:b w:val="false"/>
          <w:i w:val="false"/>
          <w:color w:val="000000"/>
          <w:sz w:val="28"/>
        </w:rPr>
        <w:t xml:space="preserve"> Закона, финансовыми институтами (банками второго уровня, консалтинговыми компаниями), обладающими опытом финансового и инвестиционного анализа.";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33" w:id="22"/>
    <w:p>
      <w:pPr>
        <w:spacing w:after="0"/>
        <w:ind w:left="0"/>
        <w:jc w:val="both"/>
      </w:pPr>
      <w:r>
        <w:rPr>
          <w:rFonts w:ascii="Times New Roman"/>
          <w:b w:val="false"/>
          <w:i w:val="false"/>
          <w:color w:val="000000"/>
          <w:sz w:val="28"/>
        </w:rPr>
        <w:t>
      "8. Решение о необходимости реализации проекта ГЧП принимается уполномоченным лицом, на основании документов Системы государственного планирования, поручений либо актов Президента Республики Казахстан, Правительства Республики Казахстан, а также с учетом инициатив субъектов предпринимательства.</w:t>
      </w:r>
    </w:p>
    <w:bookmarkEnd w:id="22"/>
    <w:bookmarkStart w:name="z34" w:id="23"/>
    <w:p>
      <w:pPr>
        <w:spacing w:after="0"/>
        <w:ind w:left="0"/>
        <w:jc w:val="both"/>
      </w:pPr>
      <w:r>
        <w:rPr>
          <w:rFonts w:ascii="Times New Roman"/>
          <w:b w:val="false"/>
          <w:i w:val="false"/>
          <w:color w:val="000000"/>
          <w:sz w:val="28"/>
        </w:rPr>
        <w:t xml:space="preserve">
      В случае отсутствия возможности самостоятельной разработки концепции проекта ГЧП, государственный орган представляет заявку на финансирование консультативного сопровождения проекта ГЧП при разработке концепции проекта ГЧП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3"/>
    <w:bookmarkStart w:name="z35" w:id="24"/>
    <w:p>
      <w:pPr>
        <w:spacing w:after="0"/>
        <w:ind w:left="0"/>
        <w:jc w:val="both"/>
      </w:pPr>
      <w:r>
        <w:rPr>
          <w:rFonts w:ascii="Times New Roman"/>
          <w:b w:val="false"/>
          <w:i w:val="false"/>
          <w:color w:val="000000"/>
          <w:sz w:val="28"/>
        </w:rPr>
        <w:t>
      В случае определения способа финансирования государственного инвестиционного проекта (далее – ГИП) по механизму ГЧП, решение о необходимости реализации проекта ГЧП принимается также на основании экономического заключения на инвестиционное предложение ГИП.</w:t>
      </w:r>
    </w:p>
    <w:bookmarkEnd w:id="24"/>
    <w:bookmarkStart w:name="z36" w:id="25"/>
    <w:p>
      <w:pPr>
        <w:spacing w:after="0"/>
        <w:ind w:left="0"/>
        <w:jc w:val="both"/>
      </w:pPr>
      <w:r>
        <w:rPr>
          <w:rFonts w:ascii="Times New Roman"/>
          <w:b w:val="false"/>
          <w:i w:val="false"/>
          <w:color w:val="000000"/>
          <w:sz w:val="28"/>
        </w:rPr>
        <w:t>
      Решение о передаче государственного имущества по договору доверительного управления либо имущественного найма (аренды) в рамках проекта ГЧП, принимается при наличии одного из следующих условий:</w:t>
      </w:r>
    </w:p>
    <w:bookmarkEnd w:id="25"/>
    <w:bookmarkStart w:name="z37" w:id="26"/>
    <w:p>
      <w:pPr>
        <w:spacing w:after="0"/>
        <w:ind w:left="0"/>
        <w:jc w:val="both"/>
      </w:pPr>
      <w:r>
        <w:rPr>
          <w:rFonts w:ascii="Times New Roman"/>
          <w:b w:val="false"/>
          <w:i w:val="false"/>
          <w:color w:val="000000"/>
          <w:sz w:val="28"/>
        </w:rPr>
        <w:t>
      1) поручения либо акта Президента Республики Казахстан, Правительства Республики Казахстан, а также инициативы субъектов предпринимательства о реализации проекта ГЧП;</w:t>
      </w:r>
    </w:p>
    <w:bookmarkEnd w:id="26"/>
    <w:bookmarkStart w:name="z38" w:id="27"/>
    <w:p>
      <w:pPr>
        <w:spacing w:after="0"/>
        <w:ind w:left="0"/>
        <w:jc w:val="both"/>
      </w:pPr>
      <w:r>
        <w:rPr>
          <w:rFonts w:ascii="Times New Roman"/>
          <w:b w:val="false"/>
          <w:i w:val="false"/>
          <w:color w:val="000000"/>
          <w:sz w:val="28"/>
        </w:rPr>
        <w:t>
      2) предполагается предоставление мер государственной поддержки, субсидий от государства, компенсации инвестиционных затрат, компенсации операционных затрат, платы за доступность, а также проведение консультативного сопровождения проекта ГЧП;</w:t>
      </w:r>
    </w:p>
    <w:bookmarkEnd w:id="27"/>
    <w:bookmarkStart w:name="z39" w:id="28"/>
    <w:p>
      <w:pPr>
        <w:spacing w:after="0"/>
        <w:ind w:left="0"/>
        <w:jc w:val="both"/>
      </w:pPr>
      <w:r>
        <w:rPr>
          <w:rFonts w:ascii="Times New Roman"/>
          <w:b w:val="false"/>
          <w:i w:val="false"/>
          <w:color w:val="000000"/>
          <w:sz w:val="28"/>
        </w:rPr>
        <w:t>
      3) предполагается переход права собственности на объект ГЧП.</w:t>
      </w:r>
    </w:p>
    <w:bookmarkEnd w:id="28"/>
    <w:bookmarkStart w:name="z40" w:id="29"/>
    <w:p>
      <w:pPr>
        <w:spacing w:after="0"/>
        <w:ind w:left="0"/>
        <w:jc w:val="both"/>
      </w:pPr>
      <w:r>
        <w:rPr>
          <w:rFonts w:ascii="Times New Roman"/>
          <w:b w:val="false"/>
          <w:i w:val="false"/>
          <w:color w:val="000000"/>
          <w:sz w:val="28"/>
        </w:rPr>
        <w:t>
      9. На стадии планирования проекта ГЧП уполномоченными лицами при необходимости для обеспечения качества управления проектом создается Межведомственная проектная группа путем привлечения специалистов подведомственных организаций, независимых экспертов, проектных, инжиниринговых и других компаний, заинтересованных и уполномоченных государственных органов, представителей Национальной палаты предпринимателей Республики Казахстан "Атамекен", субъектов предпринимательства, а также консультантов.</w:t>
      </w:r>
    </w:p>
    <w:bookmarkEnd w:id="29"/>
    <w:bookmarkStart w:name="z41" w:id="30"/>
    <w:p>
      <w:pPr>
        <w:spacing w:after="0"/>
        <w:ind w:left="0"/>
        <w:jc w:val="both"/>
      </w:pPr>
      <w:r>
        <w:rPr>
          <w:rFonts w:ascii="Times New Roman"/>
          <w:b w:val="false"/>
          <w:i w:val="false"/>
          <w:color w:val="000000"/>
          <w:sz w:val="28"/>
        </w:rPr>
        <w:t>
      Состав Межведомственной проектной группы утверждается приказом первого руководителя уполномоченного лица, заинтересованного в реализации проекта ГЧП.</w:t>
      </w:r>
    </w:p>
    <w:bookmarkEnd w:id="30"/>
    <w:bookmarkStart w:name="z42" w:id="31"/>
    <w:p>
      <w:pPr>
        <w:spacing w:after="0"/>
        <w:ind w:left="0"/>
        <w:jc w:val="both"/>
      </w:pPr>
      <w:r>
        <w:rPr>
          <w:rFonts w:ascii="Times New Roman"/>
          <w:b w:val="false"/>
          <w:i w:val="false"/>
          <w:color w:val="000000"/>
          <w:sz w:val="28"/>
        </w:rPr>
        <w:t>
      Межведомственная проектная группа осуществляет следующие функции:</w:t>
      </w:r>
    </w:p>
    <w:bookmarkEnd w:id="31"/>
    <w:bookmarkStart w:name="z43" w:id="32"/>
    <w:p>
      <w:pPr>
        <w:spacing w:after="0"/>
        <w:ind w:left="0"/>
        <w:jc w:val="both"/>
      </w:pPr>
      <w:r>
        <w:rPr>
          <w:rFonts w:ascii="Times New Roman"/>
          <w:b w:val="false"/>
          <w:i w:val="false"/>
          <w:color w:val="000000"/>
          <w:sz w:val="28"/>
        </w:rPr>
        <w:t>
      изучает предложения и инициативы по механизмам реализации проекта ГЧП;</w:t>
      </w:r>
    </w:p>
    <w:bookmarkEnd w:id="32"/>
    <w:bookmarkStart w:name="z44" w:id="33"/>
    <w:p>
      <w:pPr>
        <w:spacing w:after="0"/>
        <w:ind w:left="0"/>
        <w:jc w:val="both"/>
      </w:pPr>
      <w:r>
        <w:rPr>
          <w:rFonts w:ascii="Times New Roman"/>
          <w:b w:val="false"/>
          <w:i w:val="false"/>
          <w:color w:val="000000"/>
          <w:sz w:val="28"/>
        </w:rPr>
        <w:t xml:space="preserve">
      отбирает, оценивает, определяет приоритетность, способ осуществления проекта ГЧП, вид конкурса, вопросы, связанные с выделением земельных участков, подключением к инженерным сетям; </w:t>
      </w:r>
    </w:p>
    <w:bookmarkEnd w:id="33"/>
    <w:bookmarkStart w:name="z45" w:id="34"/>
    <w:p>
      <w:pPr>
        <w:spacing w:after="0"/>
        <w:ind w:left="0"/>
        <w:jc w:val="both"/>
      </w:pPr>
      <w:r>
        <w:rPr>
          <w:rFonts w:ascii="Times New Roman"/>
          <w:b w:val="false"/>
          <w:i w:val="false"/>
          <w:color w:val="000000"/>
          <w:sz w:val="28"/>
        </w:rPr>
        <w:t>
      изучает результаты маркетинговых и иных исследований по планируемому проекту ГЧП;</w:t>
      </w:r>
    </w:p>
    <w:bookmarkEnd w:id="34"/>
    <w:bookmarkStart w:name="z46" w:id="35"/>
    <w:p>
      <w:pPr>
        <w:spacing w:after="0"/>
        <w:ind w:left="0"/>
        <w:jc w:val="both"/>
      </w:pPr>
      <w:r>
        <w:rPr>
          <w:rFonts w:ascii="Times New Roman"/>
          <w:b w:val="false"/>
          <w:i w:val="false"/>
          <w:color w:val="000000"/>
          <w:sz w:val="28"/>
        </w:rPr>
        <w:t>
      изучает все необходимые расчеты, в том числе предварительные расчеты проекта ГЧП;</w:t>
      </w:r>
    </w:p>
    <w:bookmarkEnd w:id="35"/>
    <w:bookmarkStart w:name="z47" w:id="36"/>
    <w:p>
      <w:pPr>
        <w:spacing w:after="0"/>
        <w:ind w:left="0"/>
        <w:jc w:val="both"/>
      </w:pPr>
      <w:r>
        <w:rPr>
          <w:rFonts w:ascii="Times New Roman"/>
          <w:b w:val="false"/>
          <w:i w:val="false"/>
          <w:color w:val="000000"/>
          <w:sz w:val="28"/>
        </w:rPr>
        <w:t>
      формирует предложения для включения в концепцию проекта ГЧП;</w:t>
      </w:r>
    </w:p>
    <w:bookmarkEnd w:id="36"/>
    <w:bookmarkStart w:name="z48" w:id="37"/>
    <w:p>
      <w:pPr>
        <w:spacing w:after="0"/>
        <w:ind w:left="0"/>
        <w:jc w:val="both"/>
      </w:pPr>
      <w:r>
        <w:rPr>
          <w:rFonts w:ascii="Times New Roman"/>
          <w:b w:val="false"/>
          <w:i w:val="false"/>
          <w:color w:val="000000"/>
          <w:sz w:val="28"/>
        </w:rPr>
        <w:t>
      заслушивает все отчеты лиц, вовлеченных в подготовку проекта ГЧП, начиная с этапа планирования проекта ГЧП и до этапа заключения договора ГЧП;</w:t>
      </w:r>
    </w:p>
    <w:bookmarkEnd w:id="37"/>
    <w:bookmarkStart w:name="z49" w:id="38"/>
    <w:p>
      <w:pPr>
        <w:spacing w:after="0"/>
        <w:ind w:left="0"/>
        <w:jc w:val="both"/>
      </w:pPr>
      <w:r>
        <w:rPr>
          <w:rFonts w:ascii="Times New Roman"/>
          <w:b w:val="false"/>
          <w:i w:val="false"/>
          <w:color w:val="000000"/>
          <w:sz w:val="28"/>
        </w:rPr>
        <w:t>
      осуществляет доработку концепции и конкурсной документации проекта ГЧП в ходе процесса их согласования и экспертизы по мере получения замечаний от согласующих уполномоченных органов и организаций.</w:t>
      </w:r>
    </w:p>
    <w:bookmarkEnd w:id="38"/>
    <w:bookmarkStart w:name="z50" w:id="39"/>
    <w:p>
      <w:pPr>
        <w:spacing w:after="0"/>
        <w:ind w:left="0"/>
        <w:jc w:val="both"/>
      </w:pPr>
      <w:r>
        <w:rPr>
          <w:rFonts w:ascii="Times New Roman"/>
          <w:b w:val="false"/>
          <w:i w:val="false"/>
          <w:color w:val="000000"/>
          <w:sz w:val="28"/>
        </w:rPr>
        <w:t>
      При этом в заключениях по итогам экспертизы или согласования указываются рекомендации по управлению проектами ГЧП для Межведомственной проектной группы;</w:t>
      </w:r>
    </w:p>
    <w:bookmarkEnd w:id="39"/>
    <w:bookmarkStart w:name="z51" w:id="40"/>
    <w:p>
      <w:pPr>
        <w:spacing w:after="0"/>
        <w:ind w:left="0"/>
        <w:jc w:val="both"/>
      </w:pPr>
      <w:r>
        <w:rPr>
          <w:rFonts w:ascii="Times New Roman"/>
          <w:b w:val="false"/>
          <w:i w:val="false"/>
          <w:color w:val="000000"/>
          <w:sz w:val="28"/>
        </w:rPr>
        <w:t>
      отслеживает соблюдение сроков и процедур прохождения рассмотрения, согласования, экспертизы и утверждения концепции и конкурсной документации ГЧП.";</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3" w:id="41"/>
    <w:p>
      <w:pPr>
        <w:spacing w:after="0"/>
        <w:ind w:left="0"/>
        <w:jc w:val="both"/>
      </w:pPr>
      <w:r>
        <w:rPr>
          <w:rFonts w:ascii="Times New Roman"/>
          <w:b w:val="false"/>
          <w:i w:val="false"/>
          <w:color w:val="000000"/>
          <w:sz w:val="28"/>
        </w:rPr>
        <w:t>
      "13. Организатор конкурса осуществляет сбор поступивших предложений и может организовать конкурентный диалог путем проведения переговоров уполномоченного лица с каждым из потенциальных частных партнеров, в том числе с единственным потенциальным частным партнером.</w:t>
      </w:r>
    </w:p>
    <w:bookmarkEnd w:id="41"/>
    <w:bookmarkStart w:name="z54" w:id="42"/>
    <w:p>
      <w:pPr>
        <w:spacing w:after="0"/>
        <w:ind w:left="0"/>
        <w:jc w:val="both"/>
      </w:pPr>
      <w:r>
        <w:rPr>
          <w:rFonts w:ascii="Times New Roman"/>
          <w:b w:val="false"/>
          <w:i w:val="false"/>
          <w:color w:val="000000"/>
          <w:sz w:val="28"/>
        </w:rPr>
        <w:t>
      Конкурентный диалог организуется для формирования оптимальных решений по техническим, финансовым, юридическим и иным необходимым параметрам проекта ГЧП, мерам государственной поддержки, критериям определения лучшей конкурсной заявки и иных решений, с учетом потребностей и возможностей каждого из заинтересованных потенциальных частных партнеров, в том числе единственного потенциального частного партнера.";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изложить в следующей редакции:</w:t>
      </w:r>
    </w:p>
    <w:bookmarkStart w:name="z56" w:id="43"/>
    <w:p>
      <w:pPr>
        <w:spacing w:after="0"/>
        <w:ind w:left="0"/>
        <w:jc w:val="both"/>
      </w:pPr>
      <w:r>
        <w:rPr>
          <w:rFonts w:ascii="Times New Roman"/>
          <w:b w:val="false"/>
          <w:i w:val="false"/>
          <w:color w:val="000000"/>
          <w:sz w:val="28"/>
        </w:rPr>
        <w:t xml:space="preserve">
      "15. Уполномоченные лица разрабатывают концепцию проекта ГЧП, конкурсную документацию с учетом итогов конкурентного диалога, результатов работы проектной группы, а также с учетом требований </w:t>
      </w:r>
      <w:r>
        <w:rPr>
          <w:rFonts w:ascii="Times New Roman"/>
          <w:b w:val="false"/>
          <w:i w:val="false"/>
          <w:color w:val="000000"/>
          <w:sz w:val="28"/>
        </w:rPr>
        <w:t>Закона</w:t>
      </w:r>
      <w:r>
        <w:rPr>
          <w:rFonts w:ascii="Times New Roman"/>
          <w:b w:val="false"/>
          <w:i w:val="false"/>
          <w:color w:val="000000"/>
          <w:sz w:val="28"/>
        </w:rPr>
        <w:t>.</w:t>
      </w:r>
    </w:p>
    <w:bookmarkEnd w:id="43"/>
    <w:bookmarkStart w:name="z57" w:id="44"/>
    <w:p>
      <w:pPr>
        <w:spacing w:after="0"/>
        <w:ind w:left="0"/>
        <w:jc w:val="both"/>
      </w:pPr>
      <w:r>
        <w:rPr>
          <w:rFonts w:ascii="Times New Roman"/>
          <w:b w:val="false"/>
          <w:i w:val="false"/>
          <w:color w:val="000000"/>
          <w:sz w:val="28"/>
        </w:rPr>
        <w:t xml:space="preserve">
      В случае разработки концепции проекта ГЧП потенциальным частным партнером для внесения заявки на участие в прямых переговорах по определению частного партнера допускается проведение обсуждений с уполномоченным лицом, связанным с разработкой концепции проекта ГЧП. </w:t>
      </w:r>
    </w:p>
    <w:bookmarkEnd w:id="44"/>
    <w:bookmarkStart w:name="z58" w:id="45"/>
    <w:p>
      <w:pPr>
        <w:spacing w:after="0"/>
        <w:ind w:left="0"/>
        <w:jc w:val="both"/>
      </w:pPr>
      <w:r>
        <w:rPr>
          <w:rFonts w:ascii="Times New Roman"/>
          <w:b w:val="false"/>
          <w:i w:val="false"/>
          <w:color w:val="000000"/>
          <w:sz w:val="28"/>
        </w:rPr>
        <w:t>
      К обсуждениям могут привлекаться консультанты, заинтересованные государственные органы, эксперты, и иные заинтересованные лица.</w:t>
      </w:r>
    </w:p>
    <w:bookmarkEnd w:id="45"/>
    <w:bookmarkStart w:name="z59" w:id="46"/>
    <w:p>
      <w:pPr>
        <w:spacing w:after="0"/>
        <w:ind w:left="0"/>
        <w:jc w:val="both"/>
      </w:pPr>
      <w:r>
        <w:rPr>
          <w:rFonts w:ascii="Times New Roman"/>
          <w:b w:val="false"/>
          <w:i w:val="false"/>
          <w:color w:val="000000"/>
          <w:sz w:val="28"/>
        </w:rPr>
        <w:t xml:space="preserve">
      Планирование проекта ГЧП по расчету стоимости создания и (или) реконструкции объекта ГЧП, суммарной стоимости государственной поддержки и источников возмещения затрат субъектов ГЧП осуществляется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w:t>
      </w:r>
    </w:p>
    <w:bookmarkEnd w:id="46"/>
    <w:bookmarkStart w:name="z60" w:id="47"/>
    <w:p>
      <w:pPr>
        <w:spacing w:after="0"/>
        <w:ind w:left="0"/>
        <w:jc w:val="both"/>
      </w:pPr>
      <w:r>
        <w:rPr>
          <w:rFonts w:ascii="Times New Roman"/>
          <w:b w:val="false"/>
          <w:i w:val="false"/>
          <w:color w:val="000000"/>
          <w:sz w:val="28"/>
        </w:rPr>
        <w:t xml:space="preserve">
      16. Концепция проекта ГЧП разрабатывается по структуре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на государственном и (или) русском языках.</w:t>
      </w:r>
    </w:p>
    <w:bookmarkEnd w:id="47"/>
    <w:bookmarkStart w:name="z61" w:id="48"/>
    <w:p>
      <w:pPr>
        <w:spacing w:after="0"/>
        <w:ind w:left="0"/>
        <w:jc w:val="both"/>
      </w:pPr>
      <w:r>
        <w:rPr>
          <w:rFonts w:ascii="Times New Roman"/>
          <w:b w:val="false"/>
          <w:i w:val="false"/>
          <w:color w:val="000000"/>
          <w:sz w:val="28"/>
        </w:rPr>
        <w:t>
      Концепция проекта ГЧП подписывается первым руководителем уполномоченного лица, либо лицом его замещающим, либо лицом, уполномоченным им.</w:t>
      </w:r>
    </w:p>
    <w:bookmarkEnd w:id="48"/>
    <w:bookmarkStart w:name="z62" w:id="49"/>
    <w:p>
      <w:pPr>
        <w:spacing w:after="0"/>
        <w:ind w:left="0"/>
        <w:jc w:val="both"/>
      </w:pPr>
      <w:r>
        <w:rPr>
          <w:rFonts w:ascii="Times New Roman"/>
          <w:b w:val="false"/>
          <w:i w:val="false"/>
          <w:color w:val="000000"/>
          <w:sz w:val="28"/>
        </w:rPr>
        <w:t>
      Концепция проекта ГЧП, а также прилагаемые к ней материалы, полистно парафируются руководителем ответственного структурного подразделения (ведомства) уполномоченного лица либо представляются в прошитом виде, с пронумерованными страницами. При прошивке последняя страница на оборотной стороне заверяется и указывается количество страниц.</w:t>
      </w:r>
    </w:p>
    <w:bookmarkEnd w:id="49"/>
    <w:bookmarkStart w:name="z63" w:id="50"/>
    <w:p>
      <w:pPr>
        <w:spacing w:after="0"/>
        <w:ind w:left="0"/>
        <w:jc w:val="both"/>
      </w:pPr>
      <w:r>
        <w:rPr>
          <w:rFonts w:ascii="Times New Roman"/>
          <w:b w:val="false"/>
          <w:i w:val="false"/>
          <w:color w:val="000000"/>
          <w:sz w:val="28"/>
        </w:rPr>
        <w:t>
      17. Концепция проекта ГЧП проходит следующие согласования и экспертизы:</w:t>
      </w:r>
    </w:p>
    <w:bookmarkEnd w:id="50"/>
    <w:bookmarkStart w:name="z64" w:id="51"/>
    <w:p>
      <w:pPr>
        <w:spacing w:after="0"/>
        <w:ind w:left="0"/>
        <w:jc w:val="both"/>
      </w:pPr>
      <w:r>
        <w:rPr>
          <w:rFonts w:ascii="Times New Roman"/>
          <w:b w:val="false"/>
          <w:i w:val="false"/>
          <w:color w:val="000000"/>
          <w:sz w:val="28"/>
        </w:rPr>
        <w:t>
      1) получение экспертного заключения Национальной палаты предпринимателей Республики Казахстан "Атамекен" или ее территориальных подразделений (филиалов/представительств) в течение 10 (десять) рабочих дней со дня внесения концепции проекта ГЧП.</w:t>
      </w:r>
    </w:p>
    <w:bookmarkEnd w:id="51"/>
    <w:bookmarkStart w:name="z65" w:id="52"/>
    <w:p>
      <w:pPr>
        <w:spacing w:after="0"/>
        <w:ind w:left="0"/>
        <w:jc w:val="both"/>
      </w:pPr>
      <w:r>
        <w:rPr>
          <w:rFonts w:ascii="Times New Roman"/>
          <w:b w:val="false"/>
          <w:i w:val="false"/>
          <w:color w:val="000000"/>
          <w:sz w:val="28"/>
        </w:rPr>
        <w:t>
      Национальная палата предпринимателей Республики Казахстан "Атамекен", ее территориальные подразделения (филиалы/представительства) при даче экспертного заключения рассматривают следующие вопросы:</w:t>
      </w:r>
    </w:p>
    <w:bookmarkEnd w:id="52"/>
    <w:bookmarkStart w:name="z66" w:id="53"/>
    <w:p>
      <w:pPr>
        <w:spacing w:after="0"/>
        <w:ind w:left="0"/>
        <w:jc w:val="both"/>
      </w:pPr>
      <w:r>
        <w:rPr>
          <w:rFonts w:ascii="Times New Roman"/>
          <w:b w:val="false"/>
          <w:i w:val="false"/>
          <w:color w:val="000000"/>
          <w:sz w:val="28"/>
        </w:rPr>
        <w:t>
      инвестиционной привлекательности проекта ГЧП;</w:t>
      </w:r>
    </w:p>
    <w:bookmarkEnd w:id="53"/>
    <w:bookmarkStart w:name="z67" w:id="54"/>
    <w:p>
      <w:pPr>
        <w:spacing w:after="0"/>
        <w:ind w:left="0"/>
        <w:jc w:val="both"/>
      </w:pPr>
      <w:r>
        <w:rPr>
          <w:rFonts w:ascii="Times New Roman"/>
          <w:b w:val="false"/>
          <w:i w:val="false"/>
          <w:color w:val="000000"/>
          <w:sz w:val="28"/>
        </w:rPr>
        <w:t>
      защиты прав и законных интересов субъектов предпринимательства;</w:t>
      </w:r>
    </w:p>
    <w:bookmarkEnd w:id="54"/>
    <w:bookmarkStart w:name="z68" w:id="55"/>
    <w:p>
      <w:pPr>
        <w:spacing w:after="0"/>
        <w:ind w:left="0"/>
        <w:jc w:val="both"/>
      </w:pPr>
      <w:r>
        <w:rPr>
          <w:rFonts w:ascii="Times New Roman"/>
          <w:b w:val="false"/>
          <w:i w:val="false"/>
          <w:color w:val="000000"/>
          <w:sz w:val="28"/>
        </w:rPr>
        <w:t>
      2) в случае принадлежности проекта к сферам естественных монополий, согласование в части порядка формирования и утверждения тарифов (цен, ставок сборов) на товары, работы и услуги, с уполномоченным государственным органом, осуществляющим руководство в сферах естественных монополий и на регулируемых рынках в течение 10 (десяти) рабочих дней со дня внесения концепции проекта ГЧП.</w:t>
      </w:r>
    </w:p>
    <w:bookmarkEnd w:id="55"/>
    <w:bookmarkStart w:name="z69" w:id="56"/>
    <w:p>
      <w:pPr>
        <w:spacing w:after="0"/>
        <w:ind w:left="0"/>
        <w:jc w:val="both"/>
      </w:pPr>
      <w:r>
        <w:rPr>
          <w:rFonts w:ascii="Times New Roman"/>
          <w:b w:val="false"/>
          <w:i w:val="false"/>
          <w:color w:val="000000"/>
          <w:sz w:val="28"/>
        </w:rPr>
        <w:t>
      При согласовании рассматриваются следующие вопросы:</w:t>
      </w:r>
    </w:p>
    <w:bookmarkEnd w:id="56"/>
    <w:bookmarkStart w:name="z70" w:id="57"/>
    <w:p>
      <w:pPr>
        <w:spacing w:after="0"/>
        <w:ind w:left="0"/>
        <w:jc w:val="both"/>
      </w:pPr>
      <w:r>
        <w:rPr>
          <w:rFonts w:ascii="Times New Roman"/>
          <w:b w:val="false"/>
          <w:i w:val="false"/>
          <w:color w:val="000000"/>
          <w:sz w:val="28"/>
        </w:rPr>
        <w:t>
      принадлежность проекта ГЧП к сферам естественных монополий и согласования перечня регулируемых товаров, работ и услуг проекта ГЧП, относящихся к сферам естественных монополий;</w:t>
      </w:r>
    </w:p>
    <w:bookmarkEnd w:id="57"/>
    <w:bookmarkStart w:name="z71" w:id="58"/>
    <w:p>
      <w:pPr>
        <w:spacing w:after="0"/>
        <w:ind w:left="0"/>
        <w:jc w:val="both"/>
      </w:pPr>
      <w:r>
        <w:rPr>
          <w:rFonts w:ascii="Times New Roman"/>
          <w:b w:val="false"/>
          <w:i w:val="false"/>
          <w:color w:val="000000"/>
          <w:sz w:val="28"/>
        </w:rPr>
        <w:t>
      производственный цикл производства товаров, работ и услуг, развития тепловых и электрических сетей, газораспределительных систем, а также сетей водоснабжения и канализации;</w:t>
      </w:r>
    </w:p>
    <w:bookmarkEnd w:id="58"/>
    <w:bookmarkStart w:name="z72" w:id="59"/>
    <w:p>
      <w:pPr>
        <w:spacing w:after="0"/>
        <w:ind w:left="0"/>
        <w:jc w:val="both"/>
      </w:pPr>
      <w:r>
        <w:rPr>
          <w:rFonts w:ascii="Times New Roman"/>
          <w:b w:val="false"/>
          <w:i w:val="false"/>
          <w:color w:val="000000"/>
          <w:sz w:val="28"/>
        </w:rPr>
        <w:t>
      влияние проекта ГЧП на социально-экономическую ситуацию в регионе и потребность в реализации проекта ГЧП, в том числе влияние проекта ГЧП на деятельность других монополистов в регионе;</w:t>
      </w:r>
    </w:p>
    <w:bookmarkEnd w:id="59"/>
    <w:bookmarkStart w:name="z73" w:id="60"/>
    <w:p>
      <w:pPr>
        <w:spacing w:after="0"/>
        <w:ind w:left="0"/>
        <w:jc w:val="both"/>
      </w:pPr>
      <w:r>
        <w:rPr>
          <w:rFonts w:ascii="Times New Roman"/>
          <w:b w:val="false"/>
          <w:i w:val="false"/>
          <w:color w:val="000000"/>
          <w:sz w:val="28"/>
        </w:rPr>
        <w:t>
      порядок формирования и размер тарифа (цены, ставки сбора) на регулируемые товары, работы и услуги проекта ГЧП.</w:t>
      </w:r>
    </w:p>
    <w:bookmarkEnd w:id="60"/>
    <w:bookmarkStart w:name="z74" w:id="61"/>
    <w:p>
      <w:pPr>
        <w:spacing w:after="0"/>
        <w:ind w:left="0"/>
        <w:jc w:val="both"/>
      </w:pPr>
      <w:r>
        <w:rPr>
          <w:rFonts w:ascii="Times New Roman"/>
          <w:b w:val="false"/>
          <w:i w:val="false"/>
          <w:color w:val="000000"/>
          <w:sz w:val="28"/>
        </w:rPr>
        <w:t>
      При реконструкции или модернизации действующих объектов субъектов естественных монополий дополнительно рассматривается вопрос влияния показателей реализации проекта ГЧП на рост тарифов и на повышение качества услуг, в том числе снижение нормативных и (или) ликвидация сверхнормативных потерь в случае их наличия, основанных на планах мероприятий, разработанных и реализуемых субъектом естественных монополий;</w:t>
      </w:r>
    </w:p>
    <w:bookmarkEnd w:id="61"/>
    <w:bookmarkStart w:name="z75" w:id="62"/>
    <w:p>
      <w:pPr>
        <w:spacing w:after="0"/>
        <w:ind w:left="0"/>
        <w:jc w:val="both"/>
      </w:pPr>
      <w:r>
        <w:rPr>
          <w:rFonts w:ascii="Times New Roman"/>
          <w:b w:val="false"/>
          <w:i w:val="false"/>
          <w:color w:val="000000"/>
          <w:sz w:val="28"/>
        </w:rPr>
        <w:t>
      3) проведение отраслевой экспертизы уполномоченным органом соответствующей отрасли.</w:t>
      </w:r>
    </w:p>
    <w:bookmarkEnd w:id="62"/>
    <w:bookmarkStart w:name="z76" w:id="63"/>
    <w:p>
      <w:pPr>
        <w:spacing w:after="0"/>
        <w:ind w:left="0"/>
        <w:jc w:val="both"/>
      </w:pPr>
      <w:r>
        <w:rPr>
          <w:rFonts w:ascii="Times New Roman"/>
          <w:b w:val="false"/>
          <w:i w:val="false"/>
          <w:color w:val="000000"/>
          <w:sz w:val="28"/>
        </w:rPr>
        <w:t>
      Отраслевая экспертиза концепции проекта ГЧП проводится отраслевыми центральными государственными органами (по республиканским проектам) либо местными отраслевыми государственными органами (по местным проектам) в течение 10 (десяти) рабочих дней с момента ее внесения.</w:t>
      </w:r>
    </w:p>
    <w:bookmarkEnd w:id="63"/>
    <w:bookmarkStart w:name="z77" w:id="64"/>
    <w:p>
      <w:pPr>
        <w:spacing w:after="0"/>
        <w:ind w:left="0"/>
        <w:jc w:val="both"/>
      </w:pPr>
      <w:r>
        <w:rPr>
          <w:rFonts w:ascii="Times New Roman"/>
          <w:b w:val="false"/>
          <w:i w:val="false"/>
          <w:color w:val="000000"/>
          <w:sz w:val="28"/>
        </w:rPr>
        <w:t>
      При этом разработчики концепции местных проектов ГЧП в информативных целях параллельно направляют концепцию проекта ГЧП в центральные отраслевые государственные органы (в зависимости от сферы реализации планируемого проекта ГЧП).</w:t>
      </w:r>
    </w:p>
    <w:bookmarkEnd w:id="64"/>
    <w:bookmarkStart w:name="z78" w:id="65"/>
    <w:p>
      <w:pPr>
        <w:spacing w:after="0"/>
        <w:ind w:left="0"/>
        <w:jc w:val="both"/>
      </w:pPr>
      <w:r>
        <w:rPr>
          <w:rFonts w:ascii="Times New Roman"/>
          <w:b w:val="false"/>
          <w:i w:val="false"/>
          <w:color w:val="000000"/>
          <w:sz w:val="28"/>
        </w:rPr>
        <w:t>
      Концепция проекта подлежит отраслевой экспертизе, включающей оценку:</w:t>
      </w:r>
    </w:p>
    <w:bookmarkEnd w:id="65"/>
    <w:bookmarkStart w:name="z79" w:id="66"/>
    <w:p>
      <w:pPr>
        <w:spacing w:after="0"/>
        <w:ind w:left="0"/>
        <w:jc w:val="both"/>
      </w:pPr>
      <w:r>
        <w:rPr>
          <w:rFonts w:ascii="Times New Roman"/>
          <w:b w:val="false"/>
          <w:i w:val="false"/>
          <w:color w:val="000000"/>
          <w:sz w:val="28"/>
        </w:rPr>
        <w:t xml:space="preserve">
      1) проблем текущего состояния отрасли, которые влияют на ее дальнейшее развитие; </w:t>
      </w:r>
    </w:p>
    <w:bookmarkEnd w:id="66"/>
    <w:bookmarkStart w:name="z80" w:id="67"/>
    <w:p>
      <w:pPr>
        <w:spacing w:after="0"/>
        <w:ind w:left="0"/>
        <w:jc w:val="both"/>
      </w:pPr>
      <w:r>
        <w:rPr>
          <w:rFonts w:ascii="Times New Roman"/>
          <w:b w:val="false"/>
          <w:i w:val="false"/>
          <w:color w:val="000000"/>
          <w:sz w:val="28"/>
        </w:rPr>
        <w:t>
      2) соответствия целей проекта ГЧП решению существующих проблем в отрасли;</w:t>
      </w:r>
    </w:p>
    <w:bookmarkEnd w:id="67"/>
    <w:bookmarkStart w:name="z81" w:id="68"/>
    <w:p>
      <w:pPr>
        <w:spacing w:after="0"/>
        <w:ind w:left="0"/>
        <w:jc w:val="both"/>
      </w:pPr>
      <w:r>
        <w:rPr>
          <w:rFonts w:ascii="Times New Roman"/>
          <w:b w:val="false"/>
          <w:i w:val="false"/>
          <w:color w:val="000000"/>
          <w:sz w:val="28"/>
        </w:rPr>
        <w:t>
      3) альтернативных вариантов реализации проекта ГЧП исходя из принципа обеспечения сбалансированности интересов частного партнера и потребителей товаров (работ, услуг), предоставляемых частным партнером;</w:t>
      </w:r>
    </w:p>
    <w:bookmarkEnd w:id="68"/>
    <w:bookmarkStart w:name="z82" w:id="69"/>
    <w:p>
      <w:pPr>
        <w:spacing w:after="0"/>
        <w:ind w:left="0"/>
        <w:jc w:val="both"/>
      </w:pPr>
      <w:r>
        <w:rPr>
          <w:rFonts w:ascii="Times New Roman"/>
          <w:b w:val="false"/>
          <w:i w:val="false"/>
          <w:color w:val="000000"/>
          <w:sz w:val="28"/>
        </w:rPr>
        <w:t>
      4) ситуации в отрасли в случаях реализации проекта ГЧП и отсутствия такой реализации;</w:t>
      </w:r>
    </w:p>
    <w:bookmarkEnd w:id="69"/>
    <w:bookmarkStart w:name="z83" w:id="70"/>
    <w:p>
      <w:pPr>
        <w:spacing w:after="0"/>
        <w:ind w:left="0"/>
        <w:jc w:val="both"/>
      </w:pPr>
      <w:r>
        <w:rPr>
          <w:rFonts w:ascii="Times New Roman"/>
          <w:b w:val="false"/>
          <w:i w:val="false"/>
          <w:color w:val="000000"/>
          <w:sz w:val="28"/>
        </w:rPr>
        <w:t>
      5) распределения выгод от реализации проекта ГЧП;</w:t>
      </w:r>
    </w:p>
    <w:bookmarkEnd w:id="70"/>
    <w:bookmarkStart w:name="z84" w:id="71"/>
    <w:p>
      <w:pPr>
        <w:spacing w:after="0"/>
        <w:ind w:left="0"/>
        <w:jc w:val="both"/>
      </w:pPr>
      <w:r>
        <w:rPr>
          <w:rFonts w:ascii="Times New Roman"/>
          <w:b w:val="false"/>
          <w:i w:val="false"/>
          <w:color w:val="000000"/>
          <w:sz w:val="28"/>
        </w:rPr>
        <w:t>
      6) предполагаемого мультипликативного эффекта от реализации проекта на смежные отрасли (сферы) экономики.</w:t>
      </w:r>
    </w:p>
    <w:bookmarkEnd w:id="71"/>
    <w:bookmarkStart w:name="z85" w:id="72"/>
    <w:p>
      <w:pPr>
        <w:spacing w:after="0"/>
        <w:ind w:left="0"/>
        <w:jc w:val="both"/>
      </w:pPr>
      <w:r>
        <w:rPr>
          <w:rFonts w:ascii="Times New Roman"/>
          <w:b w:val="false"/>
          <w:i w:val="false"/>
          <w:color w:val="000000"/>
          <w:sz w:val="28"/>
        </w:rPr>
        <w:t>
      В случае если проект ГЧП затрагивает сферу ответственности нескольких отраслевых государственных органов, указанными отраслевыми государственными органами дополнительно предоставляются заключения соответствующих отраслевых экспертиз концепции проекта ГЧП;</w:t>
      </w:r>
    </w:p>
    <w:bookmarkEnd w:id="72"/>
    <w:bookmarkStart w:name="z86" w:id="73"/>
    <w:p>
      <w:pPr>
        <w:spacing w:after="0"/>
        <w:ind w:left="0"/>
        <w:jc w:val="both"/>
      </w:pPr>
      <w:r>
        <w:rPr>
          <w:rFonts w:ascii="Times New Roman"/>
          <w:b w:val="false"/>
          <w:i w:val="false"/>
          <w:color w:val="000000"/>
          <w:sz w:val="28"/>
        </w:rPr>
        <w:t>
      4) согласование путем подготовки экономического заключения центральным либо местным уполномоченным органом по государственному планированию на основании экспертизы концепции проекта ГЧП, проводимой Центром развития ГЧП (по республиканским проектам) либо юридическими лицами, определяемыми местными исполнительными органами областей, городов республиканского значения и столицы, уполномоченные на проведение экспертизы (по местным проектам), в случае их привлечения.</w:t>
      </w:r>
    </w:p>
    <w:bookmarkEnd w:id="73"/>
    <w:bookmarkStart w:name="z87" w:id="74"/>
    <w:p>
      <w:pPr>
        <w:spacing w:after="0"/>
        <w:ind w:left="0"/>
        <w:jc w:val="both"/>
      </w:pPr>
      <w:r>
        <w:rPr>
          <w:rFonts w:ascii="Times New Roman"/>
          <w:b w:val="false"/>
          <w:i w:val="false"/>
          <w:color w:val="000000"/>
          <w:sz w:val="28"/>
        </w:rPr>
        <w:t>
      Концепция проекта ГЧП направляется в центральный либо местный уполномоченный орган по государственному планированию с приложением:</w:t>
      </w:r>
    </w:p>
    <w:bookmarkEnd w:id="74"/>
    <w:bookmarkStart w:name="z88" w:id="75"/>
    <w:p>
      <w:pPr>
        <w:spacing w:after="0"/>
        <w:ind w:left="0"/>
        <w:jc w:val="both"/>
      </w:pPr>
      <w:r>
        <w:rPr>
          <w:rFonts w:ascii="Times New Roman"/>
          <w:b w:val="false"/>
          <w:i w:val="false"/>
          <w:color w:val="000000"/>
          <w:sz w:val="28"/>
        </w:rPr>
        <w:t>
      1) положительного заключения отраслевой экспертизы концепции проекта ГЧП;</w:t>
      </w:r>
    </w:p>
    <w:bookmarkEnd w:id="75"/>
    <w:bookmarkStart w:name="z89" w:id="76"/>
    <w:p>
      <w:pPr>
        <w:spacing w:after="0"/>
        <w:ind w:left="0"/>
        <w:jc w:val="both"/>
      </w:pPr>
      <w:r>
        <w:rPr>
          <w:rFonts w:ascii="Times New Roman"/>
          <w:b w:val="false"/>
          <w:i w:val="false"/>
          <w:color w:val="000000"/>
          <w:sz w:val="28"/>
        </w:rPr>
        <w:t>
      2) иных результатов необходимых согласований и заключений, предусмотренных в настоящем пункте;</w:t>
      </w:r>
    </w:p>
    <w:bookmarkEnd w:id="76"/>
    <w:bookmarkStart w:name="z90" w:id="77"/>
    <w:p>
      <w:pPr>
        <w:spacing w:after="0"/>
        <w:ind w:left="0"/>
        <w:jc w:val="both"/>
      </w:pPr>
      <w:r>
        <w:rPr>
          <w:rFonts w:ascii="Times New Roman"/>
          <w:b w:val="false"/>
          <w:i w:val="false"/>
          <w:color w:val="000000"/>
          <w:sz w:val="28"/>
        </w:rPr>
        <w:t>
      3) расчета стоимости разработки или корректировки, а также проведения необходимых экспертиз конкурсной документации с приложением соответствующего обоснования;</w:t>
      </w:r>
    </w:p>
    <w:bookmarkEnd w:id="77"/>
    <w:bookmarkStart w:name="z91" w:id="78"/>
    <w:p>
      <w:pPr>
        <w:spacing w:after="0"/>
        <w:ind w:left="0"/>
        <w:jc w:val="both"/>
      </w:pPr>
      <w:r>
        <w:rPr>
          <w:rFonts w:ascii="Times New Roman"/>
          <w:b w:val="false"/>
          <w:i w:val="false"/>
          <w:color w:val="000000"/>
          <w:sz w:val="28"/>
        </w:rPr>
        <w:t>
      4) иных материалов и сведений, необходимых, по мнению уполномоченного лица для всесторонней и полной оценки представляемой концепции проекта ГЧП.</w:t>
      </w:r>
    </w:p>
    <w:bookmarkEnd w:id="78"/>
    <w:bookmarkStart w:name="z92" w:id="79"/>
    <w:p>
      <w:pPr>
        <w:spacing w:after="0"/>
        <w:ind w:left="0"/>
        <w:jc w:val="both"/>
      </w:pPr>
      <w:r>
        <w:rPr>
          <w:rFonts w:ascii="Times New Roman"/>
          <w:b w:val="false"/>
          <w:i w:val="false"/>
          <w:color w:val="000000"/>
          <w:sz w:val="28"/>
        </w:rPr>
        <w:t>
      Экспертиза концепции проекта ГЧП осуществляется в течение 20 (двадцати) рабочих дней со дня внесения концепции проекта ГЧП по проектам, являющимся технически сложными и (или) уникальными.</w:t>
      </w:r>
    </w:p>
    <w:bookmarkEnd w:id="79"/>
    <w:bookmarkStart w:name="z93" w:id="80"/>
    <w:p>
      <w:pPr>
        <w:spacing w:after="0"/>
        <w:ind w:left="0"/>
        <w:jc w:val="both"/>
      </w:pPr>
      <w:r>
        <w:rPr>
          <w:rFonts w:ascii="Times New Roman"/>
          <w:b w:val="false"/>
          <w:i w:val="false"/>
          <w:color w:val="000000"/>
          <w:sz w:val="28"/>
        </w:rPr>
        <w:t xml:space="preserve">
      По остальным проектам срок экспертизы – в течение 10 (десяти) рабочих дней со дня внесения концепции проекта ГЧП. </w:t>
      </w:r>
    </w:p>
    <w:bookmarkEnd w:id="80"/>
    <w:bookmarkStart w:name="z94" w:id="81"/>
    <w:p>
      <w:pPr>
        <w:spacing w:after="0"/>
        <w:ind w:left="0"/>
        <w:jc w:val="both"/>
      </w:pPr>
      <w:r>
        <w:rPr>
          <w:rFonts w:ascii="Times New Roman"/>
          <w:b w:val="false"/>
          <w:i w:val="false"/>
          <w:color w:val="000000"/>
          <w:sz w:val="28"/>
        </w:rPr>
        <w:t>
      Общий срок согласования концепции проекта ГЧП центральным либо местным уполномоченным органом по государственному планированию с учетом экспертизы не превышает 30 (тридцать) рабочих дней по проектам, являющимся технически сложными и (или) уникальными, а по остальным проектам - не превышает 20 (двадцать) рабочих дней.";</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96" w:id="82"/>
    <w:p>
      <w:pPr>
        <w:spacing w:after="0"/>
        <w:ind w:left="0"/>
        <w:jc w:val="both"/>
      </w:pPr>
      <w:r>
        <w:rPr>
          <w:rFonts w:ascii="Times New Roman"/>
          <w:b w:val="false"/>
          <w:i w:val="false"/>
          <w:color w:val="000000"/>
          <w:sz w:val="28"/>
        </w:rPr>
        <w:t>
      "19. Экспертиза концепции проекта ГЧП проводится на основании:</w:t>
      </w:r>
    </w:p>
    <w:bookmarkEnd w:id="82"/>
    <w:bookmarkStart w:name="z97" w:id="83"/>
    <w:p>
      <w:pPr>
        <w:spacing w:after="0"/>
        <w:ind w:left="0"/>
        <w:jc w:val="both"/>
      </w:pPr>
      <w:r>
        <w:rPr>
          <w:rFonts w:ascii="Times New Roman"/>
          <w:b w:val="false"/>
          <w:i w:val="false"/>
          <w:color w:val="000000"/>
          <w:sz w:val="28"/>
        </w:rPr>
        <w:t>
      1) концепции проекта ГЧП;</w:t>
      </w:r>
    </w:p>
    <w:bookmarkEnd w:id="83"/>
    <w:bookmarkStart w:name="z98" w:id="84"/>
    <w:p>
      <w:pPr>
        <w:spacing w:after="0"/>
        <w:ind w:left="0"/>
        <w:jc w:val="both"/>
      </w:pPr>
      <w:r>
        <w:rPr>
          <w:rFonts w:ascii="Times New Roman"/>
          <w:b w:val="false"/>
          <w:i w:val="false"/>
          <w:color w:val="000000"/>
          <w:sz w:val="28"/>
        </w:rPr>
        <w:t>
      2) результатов согласований и экспертиз, проведенных Национальной палатой предпринимателей Республики Казахстан "Атамекен" или ее территориальными подразделениями (филиалов/представительств, уполномоченным государственным органом, осуществляющим руководство в сферах естественных монополий и на регулируемых рынках (в случае принадлежности проекта к сферам естественных монополий), а также уполномоченным органом соответствующей отрасли;</w:t>
      </w:r>
    </w:p>
    <w:bookmarkEnd w:id="84"/>
    <w:bookmarkStart w:name="z99" w:id="85"/>
    <w:p>
      <w:pPr>
        <w:spacing w:after="0"/>
        <w:ind w:left="0"/>
        <w:jc w:val="both"/>
      </w:pPr>
      <w:r>
        <w:rPr>
          <w:rFonts w:ascii="Times New Roman"/>
          <w:b w:val="false"/>
          <w:i w:val="false"/>
          <w:color w:val="000000"/>
          <w:sz w:val="28"/>
        </w:rPr>
        <w:t>
      3) расчета стоимости разработки или корректировки, а также проведения необходимых экспертиз конкурсной документации;</w:t>
      </w:r>
    </w:p>
    <w:bookmarkEnd w:id="85"/>
    <w:bookmarkStart w:name="z100" w:id="86"/>
    <w:p>
      <w:pPr>
        <w:spacing w:after="0"/>
        <w:ind w:left="0"/>
        <w:jc w:val="both"/>
      </w:pPr>
      <w:r>
        <w:rPr>
          <w:rFonts w:ascii="Times New Roman"/>
          <w:b w:val="false"/>
          <w:i w:val="false"/>
          <w:color w:val="000000"/>
          <w:sz w:val="28"/>
        </w:rPr>
        <w:t>
      4) иных материалов и сведений, необходимых, по мнению разработчика концепции проекта ГЧП для всесторонней и полной оценки представляемой концепции проекта ГЧП.";</w:t>
      </w:r>
    </w:p>
    <w:bookmarkEnd w:id="86"/>
    <w:bookmarkStart w:name="z101" w:id="87"/>
    <w:p>
      <w:pPr>
        <w:spacing w:after="0"/>
        <w:ind w:left="0"/>
        <w:jc w:val="both"/>
      </w:pPr>
      <w:r>
        <w:rPr>
          <w:rFonts w:ascii="Times New Roman"/>
          <w:b w:val="false"/>
          <w:i w:val="false"/>
          <w:color w:val="000000"/>
          <w:sz w:val="28"/>
        </w:rPr>
        <w:t>
      дополнить пунктом 23-1 следующего содержания:</w:t>
      </w:r>
    </w:p>
    <w:bookmarkEnd w:id="87"/>
    <w:bookmarkStart w:name="z102" w:id="88"/>
    <w:p>
      <w:pPr>
        <w:spacing w:after="0"/>
        <w:ind w:left="0"/>
        <w:jc w:val="both"/>
      </w:pPr>
      <w:r>
        <w:rPr>
          <w:rFonts w:ascii="Times New Roman"/>
          <w:b w:val="false"/>
          <w:i w:val="false"/>
          <w:color w:val="000000"/>
          <w:sz w:val="28"/>
        </w:rPr>
        <w:t>
      "23-1. Рассмотрение концепции местного проекта ГЧП стоимостью до 4 000 000 месячных расчетных показателей, с координацией деятельности уполномоченных органов и организаций на данном этапе Межведомственной проектной группой, осуществляется в следующем порядке:</w:t>
      </w:r>
    </w:p>
    <w:bookmarkEnd w:id="88"/>
    <w:bookmarkStart w:name="z103" w:id="89"/>
    <w:p>
      <w:pPr>
        <w:spacing w:after="0"/>
        <w:ind w:left="0"/>
        <w:jc w:val="both"/>
      </w:pPr>
      <w:r>
        <w:rPr>
          <w:rFonts w:ascii="Times New Roman"/>
          <w:b w:val="false"/>
          <w:i w:val="false"/>
          <w:color w:val="000000"/>
          <w:sz w:val="28"/>
        </w:rPr>
        <w:t>
      1) одновременно в срок не более 10 (десяти) рабочих дней рассматривают:</w:t>
      </w:r>
    </w:p>
    <w:bookmarkEnd w:id="89"/>
    <w:bookmarkStart w:name="z104" w:id="90"/>
    <w:p>
      <w:pPr>
        <w:spacing w:after="0"/>
        <w:ind w:left="0"/>
        <w:jc w:val="both"/>
      </w:pPr>
      <w:r>
        <w:rPr>
          <w:rFonts w:ascii="Times New Roman"/>
          <w:b w:val="false"/>
          <w:i w:val="false"/>
          <w:color w:val="000000"/>
          <w:sz w:val="28"/>
        </w:rPr>
        <w:t>
      территориальные подразделения (филиалы/представительства) Национальной палаты предпринимателей Республики Казахстан "Атамекен";</w:t>
      </w:r>
    </w:p>
    <w:bookmarkEnd w:id="90"/>
    <w:bookmarkStart w:name="z105" w:id="91"/>
    <w:p>
      <w:pPr>
        <w:spacing w:after="0"/>
        <w:ind w:left="0"/>
        <w:jc w:val="both"/>
      </w:pPr>
      <w:r>
        <w:rPr>
          <w:rFonts w:ascii="Times New Roman"/>
          <w:b w:val="false"/>
          <w:i w:val="false"/>
          <w:color w:val="000000"/>
          <w:sz w:val="28"/>
        </w:rPr>
        <w:t>
      уполномоченный государственный орган, осуществляющий руководство в сферах естественных монополий и на регулируемых рынках (в случае принадлежности проекта к сферам естественных монополий);</w:t>
      </w:r>
    </w:p>
    <w:bookmarkEnd w:id="91"/>
    <w:bookmarkStart w:name="z106" w:id="92"/>
    <w:p>
      <w:pPr>
        <w:spacing w:after="0"/>
        <w:ind w:left="0"/>
        <w:jc w:val="both"/>
      </w:pPr>
      <w:r>
        <w:rPr>
          <w:rFonts w:ascii="Times New Roman"/>
          <w:b w:val="false"/>
          <w:i w:val="false"/>
          <w:color w:val="000000"/>
          <w:sz w:val="28"/>
        </w:rPr>
        <w:t>
      уполномоченный орган соответствующей отрасли;</w:t>
      </w:r>
    </w:p>
    <w:bookmarkEnd w:id="92"/>
    <w:bookmarkStart w:name="z107" w:id="93"/>
    <w:p>
      <w:pPr>
        <w:spacing w:after="0"/>
        <w:ind w:left="0"/>
        <w:jc w:val="both"/>
      </w:pPr>
      <w:r>
        <w:rPr>
          <w:rFonts w:ascii="Times New Roman"/>
          <w:b w:val="false"/>
          <w:i w:val="false"/>
          <w:color w:val="000000"/>
          <w:sz w:val="28"/>
        </w:rPr>
        <w:t>
      2) в случаях, когда по проекту ГЧП не планируются меры государственной поддержки и выплаты из местного бюджетов – экспертиза концепции проекта ГЧП осуществляется (в случае их привлечения) финансовыми институтами (банками второго уровня, консалтинговыми компаниями), обладающими опытом финансового и инвестиционного анализа, либо юридическими лицами, определяемыми местными исполнительными органами, в срок не более 10 (десяти) рабочих дней;</w:t>
      </w:r>
    </w:p>
    <w:bookmarkEnd w:id="93"/>
    <w:bookmarkStart w:name="z108" w:id="94"/>
    <w:p>
      <w:pPr>
        <w:spacing w:after="0"/>
        <w:ind w:left="0"/>
        <w:jc w:val="both"/>
      </w:pPr>
      <w:r>
        <w:rPr>
          <w:rFonts w:ascii="Times New Roman"/>
          <w:b w:val="false"/>
          <w:i w:val="false"/>
          <w:color w:val="000000"/>
          <w:sz w:val="28"/>
        </w:rPr>
        <w:t>
      3) местный уполномоченный орган по государственному планированию в срок не более 3 (трех) рабочих дней.";</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110" w:id="95"/>
    <w:p>
      <w:pPr>
        <w:spacing w:after="0"/>
        <w:ind w:left="0"/>
        <w:jc w:val="both"/>
      </w:pPr>
      <w:r>
        <w:rPr>
          <w:rFonts w:ascii="Times New Roman"/>
          <w:b w:val="false"/>
          <w:i w:val="false"/>
          <w:color w:val="000000"/>
          <w:sz w:val="28"/>
        </w:rPr>
        <w:t>
      "24. Утверждение концепции проекта ГЧП осуществляется уполномоченными лицами на основании результатов всех согласований и экспертиз, предусмотренных настоящими Правилами в срок не более 3 (трех) рабочих дней.";</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112" w:id="96"/>
    <w:p>
      <w:pPr>
        <w:spacing w:after="0"/>
        <w:ind w:left="0"/>
        <w:jc w:val="both"/>
      </w:pPr>
      <w:r>
        <w:rPr>
          <w:rFonts w:ascii="Times New Roman"/>
          <w:b w:val="false"/>
          <w:i w:val="false"/>
          <w:color w:val="000000"/>
          <w:sz w:val="28"/>
        </w:rPr>
        <w:t>
      "25. Государственный орган-разработчик конкурсной документации республиканских проектов ГЧП вносит в срок не более 3 (трех) рабочих дней с момента утверждения концепции проекта ГЧП в центральный уполномоченный орган по государственному планированию, местных проектов ГЧП – в местный уполномоченный орган по государственному планированию, заявку с приложением утвержденной концепции проекта ГЧП, заключений на нее и других соответствующих экспертиз для дальнейшего вынесения на рассмотрение соответствующей бюджетной комиссии вопроса разработки или корректировки, а также проведения необходимых экспертиз конкурсной документации.</w:t>
      </w:r>
    </w:p>
    <w:bookmarkEnd w:id="96"/>
    <w:bookmarkStart w:name="z113" w:id="97"/>
    <w:p>
      <w:pPr>
        <w:spacing w:after="0"/>
        <w:ind w:left="0"/>
        <w:jc w:val="both"/>
      </w:pPr>
      <w:r>
        <w:rPr>
          <w:rFonts w:ascii="Times New Roman"/>
          <w:b w:val="false"/>
          <w:i w:val="false"/>
          <w:color w:val="000000"/>
          <w:sz w:val="28"/>
        </w:rPr>
        <w:t>
      26. На основании заявки центральный или местный уполномоченный орган по государственному планированию формирует заключение на разработку или корректировку, а также проведение необходимых экспертиз конкурсных документаций, по проектам, имеющим разработанные проектно-сметные документации (далее – ПСД), а также являющимся технически несложными, реализуемым на основании типовых проектов, типовых проектных решений и проектов повторного применения, на привязку имеющейся ПСД к конкретной площадке объекта, и в сроки в соответствии с бюджетным законодательством, выносит на рассмотрение соответствующей бюджетной комиссии.";</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115" w:id="98"/>
    <w:p>
      <w:pPr>
        <w:spacing w:after="0"/>
        <w:ind w:left="0"/>
        <w:jc w:val="both"/>
      </w:pPr>
      <w:r>
        <w:rPr>
          <w:rFonts w:ascii="Times New Roman"/>
          <w:b w:val="false"/>
          <w:i w:val="false"/>
          <w:color w:val="000000"/>
          <w:sz w:val="28"/>
        </w:rPr>
        <w:t>
      "В случае принадлежности проекта ГЧП к сферам естественных монополий организатор конкурса согласовывает конкурсную документацию с уполномоченным государственным органом, осуществляющим руководство в сферах естественных монополий и на регулируемых рынках в течение 10 (десяти) рабочих дней со дня их поступления с рассмотрением следующих вопросов:</w:t>
      </w:r>
    </w:p>
    <w:bookmarkEnd w:id="98"/>
    <w:bookmarkStart w:name="z116" w:id="99"/>
    <w:p>
      <w:pPr>
        <w:spacing w:after="0"/>
        <w:ind w:left="0"/>
        <w:jc w:val="both"/>
      </w:pPr>
      <w:r>
        <w:rPr>
          <w:rFonts w:ascii="Times New Roman"/>
          <w:b w:val="false"/>
          <w:i w:val="false"/>
          <w:color w:val="000000"/>
          <w:sz w:val="28"/>
        </w:rPr>
        <w:t>
      1) соответствие положений конкурсной документации в части порядка формирования и утверждения тарифов (цен, ставок сборов) на услуги (товары, работы), относящиеся к сфере естественных монополий требованиям действующего законодательства Республики Казахстан в сферах естественных монополий;</w:t>
      </w:r>
    </w:p>
    <w:bookmarkEnd w:id="99"/>
    <w:bookmarkStart w:name="z117" w:id="100"/>
    <w:p>
      <w:pPr>
        <w:spacing w:after="0"/>
        <w:ind w:left="0"/>
        <w:jc w:val="both"/>
      </w:pPr>
      <w:r>
        <w:rPr>
          <w:rFonts w:ascii="Times New Roman"/>
          <w:b w:val="false"/>
          <w:i w:val="false"/>
          <w:color w:val="000000"/>
          <w:sz w:val="28"/>
        </w:rPr>
        <w:t>
      2) соответствие конкурсной документации экономическим, финансовым, техническим и другим параметрам тарифообразования в концепции проекта ГЧП и технико-экономическим обоснованием (далее – ТЭО) проекта ГЧП в случае его наличия;</w:t>
      </w:r>
    </w:p>
    <w:bookmarkEnd w:id="100"/>
    <w:bookmarkStart w:name="z118" w:id="101"/>
    <w:p>
      <w:pPr>
        <w:spacing w:after="0"/>
        <w:ind w:left="0"/>
        <w:jc w:val="both"/>
      </w:pPr>
      <w:r>
        <w:rPr>
          <w:rFonts w:ascii="Times New Roman"/>
          <w:b w:val="false"/>
          <w:i w:val="false"/>
          <w:color w:val="000000"/>
          <w:sz w:val="28"/>
        </w:rPr>
        <w:t>
      3) согласование перечня документов, связанных с тарифообразованием проекта ГЧП, предоставляемых участниками конкурса в составе конкурсной заявки;</w:t>
      </w:r>
    </w:p>
    <w:bookmarkEnd w:id="101"/>
    <w:bookmarkStart w:name="z119" w:id="102"/>
    <w:p>
      <w:pPr>
        <w:spacing w:after="0"/>
        <w:ind w:left="0"/>
        <w:jc w:val="both"/>
      </w:pPr>
      <w:r>
        <w:rPr>
          <w:rFonts w:ascii="Times New Roman"/>
          <w:b w:val="false"/>
          <w:i w:val="false"/>
          <w:color w:val="000000"/>
          <w:sz w:val="28"/>
        </w:rPr>
        <w:t>
      4) согласование существенных условий конкурсной документации, связанных с тарифообразованием;</w:t>
      </w:r>
    </w:p>
    <w:bookmarkEnd w:id="102"/>
    <w:bookmarkStart w:name="z120" w:id="103"/>
    <w:p>
      <w:pPr>
        <w:spacing w:after="0"/>
        <w:ind w:left="0"/>
        <w:jc w:val="both"/>
      </w:pPr>
      <w:r>
        <w:rPr>
          <w:rFonts w:ascii="Times New Roman"/>
          <w:b w:val="false"/>
          <w:i w:val="false"/>
          <w:color w:val="000000"/>
          <w:sz w:val="28"/>
        </w:rPr>
        <w:t>
      5) согласование проекта договора ГЧП в части положений и приложений включаемых в договор ГЧП, связанных с тарифообразованием проекта ГЧП;</w:t>
      </w:r>
    </w:p>
    <w:bookmarkEnd w:id="103"/>
    <w:bookmarkStart w:name="z121" w:id="104"/>
    <w:p>
      <w:pPr>
        <w:spacing w:after="0"/>
        <w:ind w:left="0"/>
        <w:jc w:val="both"/>
      </w:pPr>
      <w:r>
        <w:rPr>
          <w:rFonts w:ascii="Times New Roman"/>
          <w:b w:val="false"/>
          <w:i w:val="false"/>
          <w:color w:val="000000"/>
          <w:sz w:val="28"/>
        </w:rPr>
        <w:t>
      6) при модернизации или реконструкции действующих объектов ГЧП – достижение увеличения или сохранения существующего уровня ликвидной стоимости задействованных основных средств за счет капиталообразующих затрат и снижение нормативных и (или) ликвидация сверхнормативных потерь в случае их наличия, основанных на планах мероприятий, разработанных и реализуемых в рамках реализации проекта ГЧП;</w:t>
      </w:r>
    </w:p>
    <w:bookmarkEnd w:id="104"/>
    <w:bookmarkStart w:name="z122" w:id="105"/>
    <w:p>
      <w:pPr>
        <w:spacing w:after="0"/>
        <w:ind w:left="0"/>
        <w:jc w:val="both"/>
      </w:pPr>
      <w:r>
        <w:rPr>
          <w:rFonts w:ascii="Times New Roman"/>
          <w:b w:val="false"/>
          <w:i w:val="false"/>
          <w:color w:val="000000"/>
          <w:sz w:val="28"/>
        </w:rPr>
        <w:t>
      7) расходы по регулируемым услугам (товарам, работам), снижение производственных затрат;</w:t>
      </w:r>
    </w:p>
    <w:bookmarkEnd w:id="105"/>
    <w:bookmarkStart w:name="z123" w:id="106"/>
    <w:p>
      <w:pPr>
        <w:spacing w:after="0"/>
        <w:ind w:left="0"/>
        <w:jc w:val="both"/>
      </w:pPr>
      <w:r>
        <w:rPr>
          <w:rFonts w:ascii="Times New Roman"/>
          <w:b w:val="false"/>
          <w:i w:val="false"/>
          <w:color w:val="000000"/>
          <w:sz w:val="28"/>
        </w:rPr>
        <w:t>
      8) объемы регулируемых и не регулируемых услуг (товаров, работ), увеличение объема и (или) повышения качества предоставляемых регулируемых услуг (товаров, работ);</w:t>
      </w:r>
    </w:p>
    <w:bookmarkEnd w:id="106"/>
    <w:bookmarkStart w:name="z124" w:id="107"/>
    <w:p>
      <w:pPr>
        <w:spacing w:after="0"/>
        <w:ind w:left="0"/>
        <w:jc w:val="both"/>
      </w:pPr>
      <w:r>
        <w:rPr>
          <w:rFonts w:ascii="Times New Roman"/>
          <w:b w:val="false"/>
          <w:i w:val="false"/>
          <w:color w:val="000000"/>
          <w:sz w:val="28"/>
        </w:rPr>
        <w:t>
      9) порядок формирования тарифа (цены, ставок сбора) и предельный уровень тарифа на предоставляемые регулируемые услуги (товары, работы);</w:t>
      </w:r>
    </w:p>
    <w:bookmarkEnd w:id="107"/>
    <w:bookmarkStart w:name="z125" w:id="108"/>
    <w:p>
      <w:pPr>
        <w:spacing w:after="0"/>
        <w:ind w:left="0"/>
        <w:jc w:val="both"/>
      </w:pPr>
      <w:r>
        <w:rPr>
          <w:rFonts w:ascii="Times New Roman"/>
          <w:b w:val="false"/>
          <w:i w:val="false"/>
          <w:color w:val="000000"/>
          <w:sz w:val="28"/>
        </w:rPr>
        <w:t>
      10) схему и условия заимствования и возмещения заемных ресурсов;</w:t>
      </w:r>
    </w:p>
    <w:bookmarkEnd w:id="108"/>
    <w:bookmarkStart w:name="z126" w:id="109"/>
    <w:p>
      <w:pPr>
        <w:spacing w:after="0"/>
        <w:ind w:left="0"/>
        <w:jc w:val="both"/>
      </w:pPr>
      <w:r>
        <w:rPr>
          <w:rFonts w:ascii="Times New Roman"/>
          <w:b w:val="false"/>
          <w:i w:val="false"/>
          <w:color w:val="000000"/>
          <w:sz w:val="28"/>
        </w:rPr>
        <w:t>
      11) основные финансово-экономические показатели проекта ГЧП – внутренней нормы прибыли (доходности), прибыли на задействованные активы, дисконтированных потоков наличности при уровне тарифов (цен, ставок сборов) на услуги субъектов в рамках прогноза роста тарифов (цен, ставок сбора) на регулируемые услуги (товары, работы), с учетом показателей прогноза социально-экономического развития Республики Казахстан и прогноза выплат государственных обязательств по проектам ГЧП.";</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Start w:name="z128" w:id="110"/>
    <w:p>
      <w:pPr>
        <w:spacing w:after="0"/>
        <w:ind w:left="0"/>
        <w:jc w:val="both"/>
      </w:pPr>
      <w:r>
        <w:rPr>
          <w:rFonts w:ascii="Times New Roman"/>
          <w:b w:val="false"/>
          <w:i w:val="false"/>
          <w:color w:val="000000"/>
          <w:sz w:val="28"/>
        </w:rPr>
        <w:t>
      "31. Организатор конкурса направляет конкурсную документацию республиканских проектов ГЧП на согласование в центральный уполномоченный орган по исполнению бюджета.</w:t>
      </w:r>
    </w:p>
    <w:bookmarkEnd w:id="110"/>
    <w:bookmarkStart w:name="z129" w:id="111"/>
    <w:p>
      <w:pPr>
        <w:spacing w:after="0"/>
        <w:ind w:left="0"/>
        <w:jc w:val="both"/>
      </w:pPr>
      <w:r>
        <w:rPr>
          <w:rFonts w:ascii="Times New Roman"/>
          <w:b w:val="false"/>
          <w:i w:val="false"/>
          <w:color w:val="000000"/>
          <w:sz w:val="28"/>
        </w:rPr>
        <w:t>
      32. Центральный уполномоченный орган по исполнению бюджета проводит согласование конкурсной документации по вопросам, входящим в компетенцию, в течение 20 (двадцати) рабочих дней со дня поступления, если проект является технически сложным и (или) уникальным, а по остальным проектам – в течение 10 (десяти) рабочих дней, с рассмотрением следующих вопросов:</w:t>
      </w:r>
    </w:p>
    <w:bookmarkEnd w:id="111"/>
    <w:bookmarkStart w:name="z130" w:id="112"/>
    <w:p>
      <w:pPr>
        <w:spacing w:after="0"/>
        <w:ind w:left="0"/>
        <w:jc w:val="both"/>
      </w:pPr>
      <w:r>
        <w:rPr>
          <w:rFonts w:ascii="Times New Roman"/>
          <w:b w:val="false"/>
          <w:i w:val="false"/>
          <w:color w:val="000000"/>
          <w:sz w:val="28"/>
        </w:rPr>
        <w:t>
      1) предоставления поручительства государства по инфраструктурным облигациям или государственных гарантий по займам, привлекаемым для финансирования проектов ГЧП.</w:t>
      </w:r>
    </w:p>
    <w:bookmarkEnd w:id="112"/>
    <w:bookmarkStart w:name="z131" w:id="113"/>
    <w:p>
      <w:pPr>
        <w:spacing w:after="0"/>
        <w:ind w:left="0"/>
        <w:jc w:val="both"/>
      </w:pPr>
      <w:r>
        <w:rPr>
          <w:rFonts w:ascii="Times New Roman"/>
          <w:b w:val="false"/>
          <w:i w:val="false"/>
          <w:color w:val="000000"/>
          <w:sz w:val="28"/>
        </w:rPr>
        <w:t>
      Центральный уполномоченный орган по исполнению бюджета при согласовании конкурсной документации, предусматривающей предоставление поручительства государства, согласовывает объем поручительства государства, предлагаемый организатором конкурса к предоставлению в рамках конкурса по определению частного партнера по проекту ГЧП и существенные условия конкурсной документации, связанные с предоставлением поручительства государства.</w:t>
      </w:r>
    </w:p>
    <w:bookmarkEnd w:id="113"/>
    <w:bookmarkStart w:name="z132" w:id="114"/>
    <w:p>
      <w:pPr>
        <w:spacing w:after="0"/>
        <w:ind w:left="0"/>
        <w:jc w:val="both"/>
      </w:pPr>
      <w:r>
        <w:rPr>
          <w:rFonts w:ascii="Times New Roman"/>
          <w:b w:val="false"/>
          <w:i w:val="false"/>
          <w:color w:val="000000"/>
          <w:sz w:val="28"/>
        </w:rPr>
        <w:t>
      Предоставление государственных гарантий осуществляется на условиях и в порядке, определяемым центральным уполномоченным органом по исполнению бюджета;</w:t>
      </w:r>
    </w:p>
    <w:bookmarkEnd w:id="114"/>
    <w:bookmarkStart w:name="z133" w:id="115"/>
    <w:p>
      <w:pPr>
        <w:spacing w:after="0"/>
        <w:ind w:left="0"/>
        <w:jc w:val="both"/>
      </w:pPr>
      <w:r>
        <w:rPr>
          <w:rFonts w:ascii="Times New Roman"/>
          <w:b w:val="false"/>
          <w:i w:val="false"/>
          <w:color w:val="000000"/>
          <w:sz w:val="28"/>
        </w:rPr>
        <w:t>
      2) принятия в республиканскую собственность объекта ГЧП или передачи существующего объекта республиканской собственности для реализации проекта ГЧП.</w:t>
      </w:r>
    </w:p>
    <w:bookmarkEnd w:id="115"/>
    <w:bookmarkStart w:name="z134" w:id="116"/>
    <w:p>
      <w:pPr>
        <w:spacing w:after="0"/>
        <w:ind w:left="0"/>
        <w:jc w:val="both"/>
      </w:pPr>
      <w:r>
        <w:rPr>
          <w:rFonts w:ascii="Times New Roman"/>
          <w:b w:val="false"/>
          <w:i w:val="false"/>
          <w:color w:val="000000"/>
          <w:sz w:val="28"/>
        </w:rPr>
        <w:t>
      Согласование конкурсной документации центральным уполномоченным органом по исполнению бюджета оформляется в виде письма о согласовании либо несогласовании с отражением причин несогласования, либо требований по доработке конкурсной документации.</w:t>
      </w:r>
    </w:p>
    <w:bookmarkEnd w:id="116"/>
    <w:bookmarkStart w:name="z135" w:id="117"/>
    <w:p>
      <w:pPr>
        <w:spacing w:after="0"/>
        <w:ind w:left="0"/>
        <w:jc w:val="both"/>
      </w:pPr>
      <w:r>
        <w:rPr>
          <w:rFonts w:ascii="Times New Roman"/>
          <w:b w:val="false"/>
          <w:i w:val="false"/>
          <w:color w:val="000000"/>
          <w:sz w:val="28"/>
        </w:rPr>
        <w:t>
      33. Организатор конкурса направляет конкурсную документацию, в том числе при внесении в нее изменений и (или) дополнений, на согласование центральному либо местному уполномоченному органу по государственному планированию.</w:t>
      </w:r>
    </w:p>
    <w:bookmarkEnd w:id="117"/>
    <w:bookmarkStart w:name="z136" w:id="118"/>
    <w:p>
      <w:pPr>
        <w:spacing w:after="0"/>
        <w:ind w:left="0"/>
        <w:jc w:val="both"/>
      </w:pPr>
      <w:r>
        <w:rPr>
          <w:rFonts w:ascii="Times New Roman"/>
          <w:b w:val="false"/>
          <w:i w:val="false"/>
          <w:color w:val="000000"/>
          <w:sz w:val="28"/>
        </w:rPr>
        <w:t>
      При внесении изменений и (или) дополнений в конкурсную документацию, на согласование представляется соответствующая сравнительная таблица, а также конкурсная документация в новой редакции с учетом предлагаемых изменений и (или) дополнений.</w:t>
      </w:r>
    </w:p>
    <w:bookmarkEnd w:id="118"/>
    <w:bookmarkStart w:name="z137" w:id="119"/>
    <w:p>
      <w:pPr>
        <w:spacing w:after="0"/>
        <w:ind w:left="0"/>
        <w:jc w:val="both"/>
      </w:pPr>
      <w:r>
        <w:rPr>
          <w:rFonts w:ascii="Times New Roman"/>
          <w:b w:val="false"/>
          <w:i w:val="false"/>
          <w:color w:val="000000"/>
          <w:sz w:val="28"/>
        </w:rPr>
        <w:t>
      Конкурсная документация, в том числе при внесении в нее изменений и (или) дополнений, полистно парафируются руководителем ответственного структурного подразделения (ведомства) уполномоченного лица либо представляются в прошитом виде, с пронумерованными страницами. При прошивке последняя страница на оборотной стороне заверяется и указывается количество страниц.</w:t>
      </w:r>
    </w:p>
    <w:bookmarkEnd w:id="119"/>
    <w:bookmarkStart w:name="z138" w:id="120"/>
    <w:p>
      <w:pPr>
        <w:spacing w:after="0"/>
        <w:ind w:left="0"/>
        <w:jc w:val="both"/>
      </w:pPr>
      <w:r>
        <w:rPr>
          <w:rFonts w:ascii="Times New Roman"/>
          <w:b w:val="false"/>
          <w:i w:val="false"/>
          <w:color w:val="000000"/>
          <w:sz w:val="28"/>
        </w:rPr>
        <w:t>
      При направлении проекта конкурсной документации на согласование организатор конкурса указывает фамилию, имя, отчество (при наличии), должность, телефон и адрес (адреса) электронной почты контактного лица-представителя организатора конкурса.</w:t>
      </w:r>
    </w:p>
    <w:bookmarkEnd w:id="120"/>
    <w:bookmarkStart w:name="z139" w:id="121"/>
    <w:p>
      <w:pPr>
        <w:spacing w:after="0"/>
        <w:ind w:left="0"/>
        <w:jc w:val="both"/>
      </w:pPr>
      <w:r>
        <w:rPr>
          <w:rFonts w:ascii="Times New Roman"/>
          <w:b w:val="false"/>
          <w:i w:val="false"/>
          <w:color w:val="000000"/>
          <w:sz w:val="28"/>
        </w:rPr>
        <w:t>
      34. Центральный либо местный уполномоченный орган по государственному планированию в течение 3 (трех) рабочих дней со дня поступления конкурсной документации направляет ее в Центр развития ГЧП или юридические лица, определяемые местными исполнительными органами областей, городов республиканского значения и столицы, для проведения экспертизы, в том числе при внесении в нее изменений и (или) дополнений, которая осуществляется в течение 30 (тридцати) рабочих дней со дня представления конкурсной документации в данную организацию, если проект является технически сложным и (или) уникальным, а по остальным проектам – в течение 15 (пятнадцати) рабочих дней.</w:t>
      </w:r>
    </w:p>
    <w:bookmarkEnd w:id="121"/>
    <w:bookmarkStart w:name="z140" w:id="122"/>
    <w:p>
      <w:pPr>
        <w:spacing w:after="0"/>
        <w:ind w:left="0"/>
        <w:jc w:val="both"/>
      </w:pPr>
      <w:r>
        <w:rPr>
          <w:rFonts w:ascii="Times New Roman"/>
          <w:b w:val="false"/>
          <w:i w:val="false"/>
          <w:color w:val="000000"/>
          <w:sz w:val="28"/>
        </w:rPr>
        <w:t>
      Общий срок рассмотрения конкурсной документации центральным либо местным уполномоченным органом по государственному планированию с учетом экспертизы не должен превышать 40 (сорок) рабочих дней по проектам, являющимся технически сложными и (или) уникальными, а по остальным проектам – не должен превышать 25 (двадцать пять) рабочих дней.";</w:t>
      </w:r>
    </w:p>
    <w:bookmarkEnd w:id="122"/>
    <w:bookmarkStart w:name="z141" w:id="123"/>
    <w:p>
      <w:pPr>
        <w:spacing w:after="0"/>
        <w:ind w:left="0"/>
        <w:jc w:val="both"/>
      </w:pPr>
      <w:r>
        <w:rPr>
          <w:rFonts w:ascii="Times New Roman"/>
          <w:b w:val="false"/>
          <w:i w:val="false"/>
          <w:color w:val="000000"/>
          <w:sz w:val="28"/>
        </w:rPr>
        <w:t>
      дополнить пунктом 34-1 следующего содержания:</w:t>
      </w:r>
    </w:p>
    <w:bookmarkEnd w:id="123"/>
    <w:bookmarkStart w:name="z142" w:id="124"/>
    <w:p>
      <w:pPr>
        <w:spacing w:after="0"/>
        <w:ind w:left="0"/>
        <w:jc w:val="both"/>
      </w:pPr>
      <w:r>
        <w:rPr>
          <w:rFonts w:ascii="Times New Roman"/>
          <w:b w:val="false"/>
          <w:i w:val="false"/>
          <w:color w:val="000000"/>
          <w:sz w:val="28"/>
        </w:rPr>
        <w:t xml:space="preserve">
      "34-1. В случаях, когда по проекту ГЧП не планируются меры государственной поддержки и выплаты из бюджета, допускается проведение экспертизы конкурсной документации, включая ПСД или ТЭО проекта ГЧП (при их наличии) по местным проектам ГЧП, в случаях, установленных подпунктом 8) </w:t>
      </w:r>
      <w:r>
        <w:rPr>
          <w:rFonts w:ascii="Times New Roman"/>
          <w:b w:val="false"/>
          <w:i w:val="false"/>
          <w:color w:val="000000"/>
          <w:sz w:val="28"/>
        </w:rPr>
        <w:t>статьи 25</w:t>
      </w:r>
      <w:r>
        <w:rPr>
          <w:rFonts w:ascii="Times New Roman"/>
          <w:b w:val="false"/>
          <w:i w:val="false"/>
          <w:color w:val="000000"/>
          <w:sz w:val="28"/>
        </w:rPr>
        <w:t xml:space="preserve"> Закона, финансовыми институтами (банками второго уровня, консалтинговыми компаниями), обладающими опытом финансового и инвестиционного анализа, в срок в течение 15 (пятнадцати) рабочих дней.";</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bookmarkStart w:name="z144" w:id="125"/>
    <w:p>
      <w:pPr>
        <w:spacing w:after="0"/>
        <w:ind w:left="0"/>
        <w:jc w:val="both"/>
      </w:pPr>
      <w:r>
        <w:rPr>
          <w:rFonts w:ascii="Times New Roman"/>
          <w:b w:val="false"/>
          <w:i w:val="false"/>
          <w:color w:val="000000"/>
          <w:sz w:val="28"/>
        </w:rPr>
        <w:t>
      "40. Оценка ТЭО проекта ГЧП проводится на основании представленного ТЭО проекта ГЧП и соответствующих положительных заключений экспертиз, необходимых к проведению на ТЭО проекта ГЧП в зависимости от специфики проекта ГЧП, а именно:</w:t>
      </w:r>
    </w:p>
    <w:bookmarkEnd w:id="125"/>
    <w:bookmarkStart w:name="z145" w:id="126"/>
    <w:p>
      <w:pPr>
        <w:spacing w:after="0"/>
        <w:ind w:left="0"/>
        <w:jc w:val="both"/>
      </w:pPr>
      <w:r>
        <w:rPr>
          <w:rFonts w:ascii="Times New Roman"/>
          <w:b w:val="false"/>
          <w:i w:val="false"/>
          <w:color w:val="000000"/>
          <w:sz w:val="28"/>
        </w:rPr>
        <w:t>
      1) комплексной вневедомственной экспертизы;</w:t>
      </w:r>
    </w:p>
    <w:bookmarkEnd w:id="126"/>
    <w:bookmarkStart w:name="z146" w:id="127"/>
    <w:p>
      <w:pPr>
        <w:spacing w:after="0"/>
        <w:ind w:left="0"/>
        <w:jc w:val="both"/>
      </w:pPr>
      <w:r>
        <w:rPr>
          <w:rFonts w:ascii="Times New Roman"/>
          <w:b w:val="false"/>
          <w:i w:val="false"/>
          <w:color w:val="000000"/>
          <w:sz w:val="28"/>
        </w:rPr>
        <w:t>
      2) отраслевой экспертизы;</w:t>
      </w:r>
    </w:p>
    <w:bookmarkEnd w:id="127"/>
    <w:bookmarkStart w:name="z147" w:id="128"/>
    <w:p>
      <w:pPr>
        <w:spacing w:after="0"/>
        <w:ind w:left="0"/>
        <w:jc w:val="both"/>
      </w:pPr>
      <w:r>
        <w:rPr>
          <w:rFonts w:ascii="Times New Roman"/>
          <w:b w:val="false"/>
          <w:i w:val="false"/>
          <w:color w:val="000000"/>
          <w:sz w:val="28"/>
        </w:rPr>
        <w:t xml:space="preserve">
      3) банковской экспертизы, в случае предоставления государственной гарантии, согласно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от 25 апреля 2001 года "О Банке Развития Казахстана";</w:t>
      </w:r>
    </w:p>
    <w:bookmarkEnd w:id="128"/>
    <w:bookmarkStart w:name="z148" w:id="129"/>
    <w:p>
      <w:pPr>
        <w:spacing w:after="0"/>
        <w:ind w:left="0"/>
        <w:jc w:val="both"/>
      </w:pPr>
      <w:r>
        <w:rPr>
          <w:rFonts w:ascii="Times New Roman"/>
          <w:b w:val="false"/>
          <w:i w:val="false"/>
          <w:color w:val="000000"/>
          <w:sz w:val="28"/>
        </w:rPr>
        <w:t>
      4) государственной научно-технической экспертизы.</w:t>
      </w:r>
    </w:p>
    <w:bookmarkEnd w:id="129"/>
    <w:bookmarkStart w:name="z149" w:id="130"/>
    <w:p>
      <w:pPr>
        <w:spacing w:after="0"/>
        <w:ind w:left="0"/>
        <w:jc w:val="both"/>
      </w:pPr>
      <w:r>
        <w:rPr>
          <w:rFonts w:ascii="Times New Roman"/>
          <w:b w:val="false"/>
          <w:i w:val="false"/>
          <w:color w:val="000000"/>
          <w:sz w:val="28"/>
        </w:rPr>
        <w:t>
      Результаты оценки ТЭО проекта ГЧП содержит:</w:t>
      </w:r>
    </w:p>
    <w:bookmarkEnd w:id="130"/>
    <w:bookmarkStart w:name="z150" w:id="131"/>
    <w:p>
      <w:pPr>
        <w:spacing w:after="0"/>
        <w:ind w:left="0"/>
        <w:jc w:val="both"/>
      </w:pPr>
      <w:r>
        <w:rPr>
          <w:rFonts w:ascii="Times New Roman"/>
          <w:b w:val="false"/>
          <w:i w:val="false"/>
          <w:color w:val="000000"/>
          <w:sz w:val="28"/>
        </w:rPr>
        <w:t>
      анализ реализации проекта ГЧП в рамках действующего законодательства Республики Казахстан;</w:t>
      </w:r>
    </w:p>
    <w:bookmarkEnd w:id="131"/>
    <w:bookmarkStart w:name="z151" w:id="132"/>
    <w:p>
      <w:pPr>
        <w:spacing w:after="0"/>
        <w:ind w:left="0"/>
        <w:jc w:val="both"/>
      </w:pPr>
      <w:r>
        <w:rPr>
          <w:rFonts w:ascii="Times New Roman"/>
          <w:b w:val="false"/>
          <w:i w:val="false"/>
          <w:color w:val="000000"/>
          <w:sz w:val="28"/>
        </w:rPr>
        <w:t>
      анализ социально-экономической эффективности реализации проекта ГЧП;</w:t>
      </w:r>
    </w:p>
    <w:bookmarkEnd w:id="132"/>
    <w:bookmarkStart w:name="z152" w:id="133"/>
    <w:p>
      <w:pPr>
        <w:spacing w:after="0"/>
        <w:ind w:left="0"/>
        <w:jc w:val="both"/>
      </w:pPr>
      <w:r>
        <w:rPr>
          <w:rFonts w:ascii="Times New Roman"/>
          <w:b w:val="false"/>
          <w:i w:val="false"/>
          <w:color w:val="000000"/>
          <w:sz w:val="28"/>
        </w:rPr>
        <w:t>
      анализ коммерческой эффективности реализации проекта ГЧП;</w:t>
      </w:r>
    </w:p>
    <w:bookmarkEnd w:id="133"/>
    <w:bookmarkStart w:name="z153" w:id="134"/>
    <w:p>
      <w:pPr>
        <w:spacing w:after="0"/>
        <w:ind w:left="0"/>
        <w:jc w:val="both"/>
      </w:pPr>
      <w:r>
        <w:rPr>
          <w:rFonts w:ascii="Times New Roman"/>
          <w:b w:val="false"/>
          <w:i w:val="false"/>
          <w:color w:val="000000"/>
          <w:sz w:val="28"/>
        </w:rPr>
        <w:t>
      анализ бюджетной эффективности реализации проекта ГЧП с учетом оказания мер государственной поддержки и определения источников возмещения затрат и получения доходов частного партнера;</w:t>
      </w:r>
    </w:p>
    <w:bookmarkEnd w:id="134"/>
    <w:bookmarkStart w:name="z154" w:id="135"/>
    <w:p>
      <w:pPr>
        <w:spacing w:after="0"/>
        <w:ind w:left="0"/>
        <w:jc w:val="both"/>
      </w:pPr>
      <w:r>
        <w:rPr>
          <w:rFonts w:ascii="Times New Roman"/>
          <w:b w:val="false"/>
          <w:i w:val="false"/>
          <w:color w:val="000000"/>
          <w:sz w:val="28"/>
        </w:rPr>
        <w:t>
      анализ рисков проекта ГЧП и мер по их снижению;</w:t>
      </w:r>
    </w:p>
    <w:bookmarkEnd w:id="135"/>
    <w:bookmarkStart w:name="z155" w:id="136"/>
    <w:p>
      <w:pPr>
        <w:spacing w:after="0"/>
        <w:ind w:left="0"/>
        <w:jc w:val="both"/>
      </w:pPr>
      <w:r>
        <w:rPr>
          <w:rFonts w:ascii="Times New Roman"/>
          <w:b w:val="false"/>
          <w:i w:val="false"/>
          <w:color w:val="000000"/>
          <w:sz w:val="28"/>
        </w:rPr>
        <w:t>
      выводы и рекомендации.</w:t>
      </w:r>
    </w:p>
    <w:bookmarkEnd w:id="136"/>
    <w:bookmarkStart w:name="z156" w:id="137"/>
    <w:p>
      <w:pPr>
        <w:spacing w:after="0"/>
        <w:ind w:left="0"/>
        <w:jc w:val="both"/>
      </w:pPr>
      <w:r>
        <w:rPr>
          <w:rFonts w:ascii="Times New Roman"/>
          <w:b w:val="false"/>
          <w:i w:val="false"/>
          <w:color w:val="000000"/>
          <w:sz w:val="28"/>
        </w:rPr>
        <w:t>
      41. Центральный либо местный уполномоченный орган по государственному планированию согласовывает конкурсную документацию и направляет организатору конкурса заключение экспертизы конкурсной документации, проведенной Центром развития ГЧП или юридическими лицами, определяемыми местными исполнительными органами областей, городов республиканского значения и столицы, уполномоченные на проведение экспертизы.</w:t>
      </w:r>
    </w:p>
    <w:bookmarkEnd w:id="137"/>
    <w:bookmarkStart w:name="z157" w:id="138"/>
    <w:p>
      <w:pPr>
        <w:spacing w:after="0"/>
        <w:ind w:left="0"/>
        <w:jc w:val="both"/>
      </w:pPr>
      <w:r>
        <w:rPr>
          <w:rFonts w:ascii="Times New Roman"/>
          <w:b w:val="false"/>
          <w:i w:val="false"/>
          <w:color w:val="000000"/>
          <w:sz w:val="28"/>
        </w:rPr>
        <w:t>
      В случае положительного заключения экспертизы конкурсной документации, проведенной Центром развития ГЧП, содержащего рекомендации о возможности включения в конкурсную документацию предоставления по проекту ГЧП одной или нескольких мер государственной поддержки, источников возмещения затрат и получения доходов частного партнера, влекущих расходы из республиканского бюджета, центральный уполномоченный орган по государственному планированию направляет в центральный уполномоченный орган по бюджетному планированию и исполнению бюджета его для вынесения на рассмотрение республиканской бюджетной комиссии.</w:t>
      </w:r>
    </w:p>
    <w:bookmarkEnd w:id="138"/>
    <w:bookmarkStart w:name="z158" w:id="139"/>
    <w:p>
      <w:pPr>
        <w:spacing w:after="0"/>
        <w:ind w:left="0"/>
        <w:jc w:val="both"/>
      </w:pPr>
      <w:r>
        <w:rPr>
          <w:rFonts w:ascii="Times New Roman"/>
          <w:b w:val="false"/>
          <w:i w:val="false"/>
          <w:color w:val="000000"/>
          <w:sz w:val="28"/>
        </w:rPr>
        <w:t>
      В случае положительного заключения экспертизы конкурсной документации, проведенной юридическими лицами, определяемыми местными исполнительными органами областей, городов республиканского значения и столицы, уполномоченные на проведение экспертизы, содержащего рекомендации о возможности включения в конкурсную документацию предоставления по проекту ГЧП одной или нескольких мер государственной поддержки, источников возмещения затрат и получения доходов частного партнера, влекущих расходы из местного бюджета, местный уполномоченный орган по государственному планированию выносит его на рассмотрение соответствующей бюджетной комиссии.</w:t>
      </w:r>
    </w:p>
    <w:bookmarkEnd w:id="139"/>
    <w:bookmarkStart w:name="z159" w:id="140"/>
    <w:p>
      <w:pPr>
        <w:spacing w:after="0"/>
        <w:ind w:left="0"/>
        <w:jc w:val="both"/>
      </w:pPr>
      <w:r>
        <w:rPr>
          <w:rFonts w:ascii="Times New Roman"/>
          <w:b w:val="false"/>
          <w:i w:val="false"/>
          <w:color w:val="000000"/>
          <w:sz w:val="28"/>
        </w:rPr>
        <w:t>
      Местный уполномоченный орган по государственному планированию по конкурсной документации, подготовленной для конкурса по определению частного партнера с использованием упрощенных конкурсных процедур, предусматривающей по проекту ГЧП одной или нескольких мер государственной поддержки, источников возмещения затрат и получения доходов частного партнера, влекущих расходы из местного бюджета, формирует заключение (без проведения экспертизы юридическими лицами) и вносит его на рассмотрение соответствующей бюджетной комиссии";</w:t>
      </w:r>
    </w:p>
    <w:bookmarkEnd w:id="140"/>
    <w:bookmarkStart w:name="z160" w:id="141"/>
    <w:p>
      <w:pPr>
        <w:spacing w:after="0"/>
        <w:ind w:left="0"/>
        <w:jc w:val="both"/>
      </w:pPr>
      <w:r>
        <w:rPr>
          <w:rFonts w:ascii="Times New Roman"/>
          <w:b w:val="false"/>
          <w:i w:val="false"/>
          <w:color w:val="000000"/>
          <w:sz w:val="28"/>
        </w:rPr>
        <w:t>
      дополнить пунктом 41-1 следующего содержания:</w:t>
      </w:r>
    </w:p>
    <w:bookmarkEnd w:id="141"/>
    <w:bookmarkStart w:name="z161" w:id="142"/>
    <w:p>
      <w:pPr>
        <w:spacing w:after="0"/>
        <w:ind w:left="0"/>
        <w:jc w:val="both"/>
      </w:pPr>
      <w:r>
        <w:rPr>
          <w:rFonts w:ascii="Times New Roman"/>
          <w:b w:val="false"/>
          <w:i w:val="false"/>
          <w:color w:val="000000"/>
          <w:sz w:val="28"/>
        </w:rPr>
        <w:t>
      "41-1. В случае увеличения сметной стоимости проекта ГЧП, направленного на создание (строительство) новых либо реконструкцию имеющихся объектов ГЧП, по причине существенного изменения курса национальной валюты к иностранной валюте, но не влекущих изменения технических решений, проводится корректировка ТЭО и (или) ПСД с последующим проведением комплексной вневедомственной экспертизы, при этом экспертиза Центра развития ГЧП либо юридического лица, определяемого местным исполнительным органом области, города республиканского значения и столицы, уполномоченного на проведение экспертизы, и заключение уполномоченного органа по государственному планированию не требуются.</w:t>
      </w:r>
    </w:p>
    <w:bookmarkEnd w:id="142"/>
    <w:bookmarkStart w:name="z162" w:id="143"/>
    <w:p>
      <w:pPr>
        <w:spacing w:after="0"/>
        <w:ind w:left="0"/>
        <w:jc w:val="both"/>
      </w:pPr>
      <w:r>
        <w:rPr>
          <w:rFonts w:ascii="Times New Roman"/>
          <w:b w:val="false"/>
          <w:i w:val="false"/>
          <w:color w:val="000000"/>
          <w:sz w:val="28"/>
        </w:rPr>
        <w:t>
      Организатор конкурса направляет в центральный уполномоченный орган по бюджетному планированию и исполнению бюджета (по республиканским проектам) или местный уполномоченный орган по государственному планированию (по местным проектам) заявку для вынесения данного вопроса на рассмотрение соответствующей бюджетной комиссии.</w:t>
      </w:r>
    </w:p>
    <w:bookmarkEnd w:id="143"/>
    <w:bookmarkStart w:name="z163" w:id="144"/>
    <w:p>
      <w:pPr>
        <w:spacing w:after="0"/>
        <w:ind w:left="0"/>
        <w:jc w:val="both"/>
      </w:pPr>
      <w:r>
        <w:rPr>
          <w:rFonts w:ascii="Times New Roman"/>
          <w:b w:val="false"/>
          <w:i w:val="false"/>
          <w:color w:val="000000"/>
          <w:sz w:val="28"/>
        </w:rPr>
        <w:t>
      На основании решения соответствующей бюджетной комиссии осуществляется переутверждение конкурсной документации.";</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65</w:t>
      </w:r>
      <w:r>
        <w:rPr>
          <w:rFonts w:ascii="Times New Roman"/>
          <w:b w:val="false"/>
          <w:i w:val="false"/>
          <w:color w:val="000000"/>
          <w:sz w:val="28"/>
        </w:rPr>
        <w:t xml:space="preserve"> изложить в следующей редакции:</w:t>
      </w:r>
    </w:p>
    <w:bookmarkStart w:name="z165" w:id="145"/>
    <w:p>
      <w:pPr>
        <w:spacing w:after="0"/>
        <w:ind w:left="0"/>
        <w:jc w:val="both"/>
      </w:pPr>
      <w:r>
        <w:rPr>
          <w:rFonts w:ascii="Times New Roman"/>
          <w:b w:val="false"/>
          <w:i w:val="false"/>
          <w:color w:val="000000"/>
          <w:sz w:val="28"/>
        </w:rPr>
        <w:t>
      "65. Возврат неиспользованных или частично использованных бюджетных средств осуществляется путем восстановления соответствующих бюджетных программ центрального или местного уполномоченного органа по государственному планированию без соответствующего решения соответствующих бюджетных комиссий на основании разработанного в установленном порядке и принятого приказа центрального уполномоченного органа по государственному планированию или решения местного исполнительного органа области, города республиканского значения и столицы о внесении изменений в приказ центрального уполномоченного органа по государственному планированию или решение местного исполнительного органа области, города республиканского значения и столицы о распределении соответствующих распределяемых бюджетных программ с последующим внесением изменений в сводный план поступлений и финансирования по платежам, сводный план финансирования по обязательствам.";</w:t>
      </w:r>
    </w:p>
    <w:bookmarkEnd w:id="145"/>
    <w:bookmarkStart w:name="z166" w:id="146"/>
    <w:p>
      <w:pPr>
        <w:spacing w:after="0"/>
        <w:ind w:left="0"/>
        <w:jc w:val="both"/>
      </w:pPr>
      <w:r>
        <w:rPr>
          <w:rFonts w:ascii="Times New Roman"/>
          <w:b w:val="false"/>
          <w:i w:val="false"/>
          <w:color w:val="000000"/>
          <w:sz w:val="28"/>
        </w:rPr>
        <w:t xml:space="preserve">
      абзац пятый </w:t>
      </w:r>
      <w:r>
        <w:rPr>
          <w:rFonts w:ascii="Times New Roman"/>
          <w:b w:val="false"/>
          <w:i w:val="false"/>
          <w:color w:val="000000"/>
          <w:sz w:val="28"/>
        </w:rPr>
        <w:t>пункта 75</w:t>
      </w:r>
      <w:r>
        <w:rPr>
          <w:rFonts w:ascii="Times New Roman"/>
          <w:b w:val="false"/>
          <w:i w:val="false"/>
          <w:color w:val="000000"/>
          <w:sz w:val="28"/>
        </w:rPr>
        <w:t xml:space="preserve"> изложить в следующей редакции:</w:t>
      </w:r>
    </w:p>
    <w:bookmarkEnd w:id="146"/>
    <w:bookmarkStart w:name="z167" w:id="147"/>
    <w:p>
      <w:pPr>
        <w:spacing w:after="0"/>
        <w:ind w:left="0"/>
        <w:jc w:val="both"/>
      </w:pPr>
      <w:r>
        <w:rPr>
          <w:rFonts w:ascii="Times New Roman"/>
          <w:b w:val="false"/>
          <w:i w:val="false"/>
          <w:color w:val="000000"/>
          <w:sz w:val="28"/>
        </w:rPr>
        <w:t>
      "В состав Комиссии включаются представители уполномоченных органов по государственному планированию, по исполнению бюджета (когда организатором конкурса является центральный государственный орган – не ниже заместителей первых руководителей).";</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77</w:t>
      </w:r>
      <w:r>
        <w:rPr>
          <w:rFonts w:ascii="Times New Roman"/>
          <w:b w:val="false"/>
          <w:i w:val="false"/>
          <w:color w:val="000000"/>
          <w:sz w:val="28"/>
        </w:rPr>
        <w:t xml:space="preserve"> изложить в следующей редакции:</w:t>
      </w:r>
    </w:p>
    <w:bookmarkStart w:name="z169" w:id="148"/>
    <w:p>
      <w:pPr>
        <w:spacing w:after="0"/>
        <w:ind w:left="0"/>
        <w:jc w:val="both"/>
      </w:pPr>
      <w:r>
        <w:rPr>
          <w:rFonts w:ascii="Times New Roman"/>
          <w:b w:val="false"/>
          <w:i w:val="false"/>
          <w:color w:val="000000"/>
          <w:sz w:val="28"/>
        </w:rPr>
        <w:t>
      "77. Информация о проведении конкурса по определению частного партнера по проектам, являющимся технически сложными и (или) уникальными, размещается на официальном интернет-ресурсе организатора конкурса и в периодических печатных изданиях, на государственном и русском языках с одновременным уведомлением уполномоченного органа по государственному планированию, не менее чем за 60 (шестьдесят) календарных дней до дня проведения конкурса по определению частного партнера, а при проведении повторного конкурса по определению частного партнера – не менее чем за 30 (тридцать) календарных дней.</w:t>
      </w:r>
    </w:p>
    <w:bookmarkEnd w:id="148"/>
    <w:bookmarkStart w:name="z170" w:id="149"/>
    <w:p>
      <w:pPr>
        <w:spacing w:after="0"/>
        <w:ind w:left="0"/>
        <w:jc w:val="both"/>
      </w:pPr>
      <w:r>
        <w:rPr>
          <w:rFonts w:ascii="Times New Roman"/>
          <w:b w:val="false"/>
          <w:i w:val="false"/>
          <w:color w:val="000000"/>
          <w:sz w:val="28"/>
        </w:rPr>
        <w:t>
      По остальным проектам – не менее чем за 30 (тридцать) календарных дней до дня проведения конкурса по определению частного партнера, а при проведении повторного конкурса по определению частного партнера – не менее чем за 15 (пятнадцать) календарных дней.";</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81</w:t>
      </w:r>
      <w:r>
        <w:rPr>
          <w:rFonts w:ascii="Times New Roman"/>
          <w:b w:val="false"/>
          <w:i w:val="false"/>
          <w:color w:val="000000"/>
          <w:sz w:val="28"/>
        </w:rPr>
        <w:t xml:space="preserve"> изложить в следующей редакции:</w:t>
      </w:r>
    </w:p>
    <w:bookmarkStart w:name="z172" w:id="150"/>
    <w:p>
      <w:pPr>
        <w:spacing w:after="0"/>
        <w:ind w:left="0"/>
        <w:jc w:val="both"/>
      </w:pPr>
      <w:r>
        <w:rPr>
          <w:rFonts w:ascii="Times New Roman"/>
          <w:b w:val="false"/>
          <w:i w:val="false"/>
          <w:color w:val="000000"/>
          <w:sz w:val="28"/>
        </w:rPr>
        <w:t>
      "81. Лица, получившие конкурсную документацию, в случае необходимости обращаются с запросом к организатору конкурса о разъяснении положений конкурсной документации.</w:t>
      </w:r>
    </w:p>
    <w:bookmarkEnd w:id="150"/>
    <w:bookmarkStart w:name="z173" w:id="151"/>
    <w:p>
      <w:pPr>
        <w:spacing w:after="0"/>
        <w:ind w:left="0"/>
        <w:jc w:val="both"/>
      </w:pPr>
      <w:r>
        <w:rPr>
          <w:rFonts w:ascii="Times New Roman"/>
          <w:b w:val="false"/>
          <w:i w:val="false"/>
          <w:color w:val="000000"/>
          <w:sz w:val="28"/>
        </w:rPr>
        <w:t>
      Обращение за разъяснением осуществляется в срок не позднее 30 (тридцати) календарных дней до истечения окончательного срока представления конкурсных заявок, если проект, является технически сложным и (или) уникальным, а по остальным проектам – в срок не позднее 15 (пятнадцати) календарных дней до истечения окончательного срока представления конкурсных заявок. При проведении повторного конкурса по определению частного партнера, лица, сведения о которых внесены в журнал регистрации лиц, получивших конкурсную документацию, обращаются с запросом о разъяснении положений конкурсной документации не позднее 15 (пятнадцати) календарных дней до истечения окончательного срока предоставления конкурсных заявок, если проект, является технически сложным и (или) уникальным, а по остальным проектам – не позднее 10 (десяти) календарных дней до истечения окончательного срока предоставления конкурсных заявок.</w:t>
      </w:r>
    </w:p>
    <w:bookmarkEnd w:id="151"/>
    <w:bookmarkStart w:name="z174" w:id="152"/>
    <w:p>
      <w:pPr>
        <w:spacing w:after="0"/>
        <w:ind w:left="0"/>
        <w:jc w:val="both"/>
      </w:pPr>
      <w:r>
        <w:rPr>
          <w:rFonts w:ascii="Times New Roman"/>
          <w:b w:val="false"/>
          <w:i w:val="false"/>
          <w:color w:val="000000"/>
          <w:sz w:val="28"/>
        </w:rPr>
        <w:t>
      Организатор конкурса в течение 3 (трех) рабочих дней со дня регистрации запроса направляет ответ на него и без указания, от кого поступил запрос, сообщает такое разъяснение всем потенциальным частным партнерам, которым организатор конкурса представил конкурсную документацию.</w:t>
      </w:r>
    </w:p>
    <w:bookmarkEnd w:id="152"/>
    <w:bookmarkStart w:name="z175" w:id="153"/>
    <w:p>
      <w:pPr>
        <w:spacing w:after="0"/>
        <w:ind w:left="0"/>
        <w:jc w:val="both"/>
      </w:pPr>
      <w:r>
        <w:rPr>
          <w:rFonts w:ascii="Times New Roman"/>
          <w:b w:val="false"/>
          <w:i w:val="false"/>
          <w:color w:val="000000"/>
          <w:sz w:val="28"/>
        </w:rPr>
        <w:t>
      Организатор конкурса направляет разъяснения по содержанию конкурсной документации через специально созданный интернет-ресурс (веб-портал) либо другим электронным способом.</w:t>
      </w:r>
    </w:p>
    <w:bookmarkEnd w:id="153"/>
    <w:bookmarkStart w:name="z176" w:id="154"/>
    <w:p>
      <w:pPr>
        <w:spacing w:after="0"/>
        <w:ind w:left="0"/>
        <w:jc w:val="both"/>
      </w:pPr>
      <w:r>
        <w:rPr>
          <w:rFonts w:ascii="Times New Roman"/>
          <w:b w:val="false"/>
          <w:i w:val="false"/>
          <w:color w:val="000000"/>
          <w:sz w:val="28"/>
        </w:rPr>
        <w:t>
      В случае поступления предложений от потенциальных частных партнеров организатор конкурса при необходимости организует конкурентный диалог.</w:t>
      </w:r>
    </w:p>
    <w:bookmarkEnd w:id="154"/>
    <w:bookmarkStart w:name="z177" w:id="155"/>
    <w:p>
      <w:pPr>
        <w:spacing w:after="0"/>
        <w:ind w:left="0"/>
        <w:jc w:val="both"/>
      </w:pPr>
      <w:r>
        <w:rPr>
          <w:rFonts w:ascii="Times New Roman"/>
          <w:b w:val="false"/>
          <w:i w:val="false"/>
          <w:color w:val="000000"/>
          <w:sz w:val="28"/>
        </w:rPr>
        <w:t>
      Конкурентный диалог организуется для формирования оптимальных решений по техническим, финансовым, юридическим и иным необходимым параметрам проекта ГЧП, мерам государственной поддержки, критериям отбора частного партнера и иных решений, с учетом потребностей и возможностей каждого из заинтересованных потенциальных частных партнеров.</w:t>
      </w:r>
    </w:p>
    <w:bookmarkEnd w:id="155"/>
    <w:bookmarkStart w:name="z178" w:id="156"/>
    <w:p>
      <w:pPr>
        <w:spacing w:after="0"/>
        <w:ind w:left="0"/>
        <w:jc w:val="both"/>
      </w:pPr>
      <w:r>
        <w:rPr>
          <w:rFonts w:ascii="Times New Roman"/>
          <w:b w:val="false"/>
          <w:i w:val="false"/>
          <w:color w:val="000000"/>
          <w:sz w:val="28"/>
        </w:rPr>
        <w:t>
      Все участники конкурентного диалога соблюдают конфиденциальность информации, полученной в ходе его проведения.</w:t>
      </w:r>
    </w:p>
    <w:bookmarkEnd w:id="156"/>
    <w:bookmarkStart w:name="z179" w:id="157"/>
    <w:p>
      <w:pPr>
        <w:spacing w:after="0"/>
        <w:ind w:left="0"/>
        <w:jc w:val="both"/>
      </w:pPr>
      <w:r>
        <w:rPr>
          <w:rFonts w:ascii="Times New Roman"/>
          <w:b w:val="false"/>
          <w:i w:val="false"/>
          <w:color w:val="000000"/>
          <w:sz w:val="28"/>
        </w:rPr>
        <w:t>
      Организатор конкурса по проектам, являющимся технически сложными и (или) уникальными в срок не позднее 20 (двадцати) календарных дней до истечения срока представления конкурсных заявок по собственной инициативе или в ответ на запрос потенциального частного партнера может внести изменения и (или) дополнения в конкурсную документацию, а по остальным проектам – не позднее 15 (пятнадцати) календарных дней до истечения срока представления конкурсных заявок, с последующим обеспечением экспертизы конкурсной документации.</w:t>
      </w:r>
    </w:p>
    <w:bookmarkEnd w:id="157"/>
    <w:bookmarkStart w:name="z180" w:id="158"/>
    <w:p>
      <w:pPr>
        <w:spacing w:after="0"/>
        <w:ind w:left="0"/>
        <w:jc w:val="both"/>
      </w:pPr>
      <w:r>
        <w:rPr>
          <w:rFonts w:ascii="Times New Roman"/>
          <w:b w:val="false"/>
          <w:i w:val="false"/>
          <w:color w:val="000000"/>
          <w:sz w:val="28"/>
        </w:rPr>
        <w:t>
      При проведении повторного конкурса по определению частного партнера – в срок не позднее 10 (десяти) календарных дней. Внесенные изменения и (или) дополнения имеют обязательную силу.</w:t>
      </w:r>
    </w:p>
    <w:bookmarkEnd w:id="158"/>
    <w:bookmarkStart w:name="z181" w:id="159"/>
    <w:p>
      <w:pPr>
        <w:spacing w:after="0"/>
        <w:ind w:left="0"/>
        <w:jc w:val="both"/>
      </w:pPr>
      <w:r>
        <w:rPr>
          <w:rFonts w:ascii="Times New Roman"/>
          <w:b w:val="false"/>
          <w:i w:val="false"/>
          <w:color w:val="000000"/>
          <w:sz w:val="28"/>
        </w:rPr>
        <w:t xml:space="preserve">
      При этом организатор конкурса не позднее 1 (одного) рабочего дня со дня принятия решения о внесении изменений и (или) дополнений в конкурсную документацию уведомляет о таком решении всех потенциальных частных партнеров. </w:t>
      </w:r>
    </w:p>
    <w:bookmarkEnd w:id="159"/>
    <w:bookmarkStart w:name="z182" w:id="160"/>
    <w:p>
      <w:pPr>
        <w:spacing w:after="0"/>
        <w:ind w:left="0"/>
        <w:jc w:val="both"/>
      </w:pPr>
      <w:r>
        <w:rPr>
          <w:rFonts w:ascii="Times New Roman"/>
          <w:b w:val="false"/>
          <w:i w:val="false"/>
          <w:color w:val="000000"/>
          <w:sz w:val="28"/>
        </w:rPr>
        <w:t>
      Организатор конкурса не позднее 1 (одного) рабочего дня со дня получения результатов экспертизы представляет текст внесенных изменений и (или) дополнений в конкурсную документацию всем потенциальным частным партнерам. При этом срок представления конкурсных заявок продлевается организатором конкурса на срок не менее чем на 30 (тридцать) календарных дней для учета потенциальными частными партнерами этих изменений и (или) дополнений в конкурсных заявках, а при повторном конкурсе по определению частного партнера – на срок не менее 15 (пятнадцати) календарных дней.";</w:t>
      </w:r>
    </w:p>
    <w:bookmarkEnd w:id="1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изложить в следующей редакции:</w:t>
      </w:r>
    </w:p>
    <w:bookmarkStart w:name="z184" w:id="161"/>
    <w:p>
      <w:pPr>
        <w:spacing w:after="0"/>
        <w:ind w:left="0"/>
        <w:jc w:val="both"/>
      </w:pPr>
      <w:r>
        <w:rPr>
          <w:rFonts w:ascii="Times New Roman"/>
          <w:b w:val="false"/>
          <w:i w:val="false"/>
          <w:color w:val="000000"/>
          <w:sz w:val="28"/>
        </w:rPr>
        <w:t>
      "86. Организатор конкурса осуществляет квалификационный отбор посредством проведения оценки соответствия потенциальных частных партнеров квалификационным требованиям в течение 5 (пяти) рабочих дней с момента окончания срока предоставления документов.</w:t>
      </w:r>
    </w:p>
    <w:bookmarkEnd w:id="161"/>
    <w:bookmarkStart w:name="z185" w:id="162"/>
    <w:p>
      <w:pPr>
        <w:spacing w:after="0"/>
        <w:ind w:left="0"/>
        <w:jc w:val="both"/>
      </w:pPr>
      <w:r>
        <w:rPr>
          <w:rFonts w:ascii="Times New Roman"/>
          <w:b w:val="false"/>
          <w:i w:val="false"/>
          <w:color w:val="000000"/>
          <w:sz w:val="28"/>
        </w:rPr>
        <w:t>
      В случае выявления несоответствия требованиям к документам, подтверждающим соответствие потенциальных частных партнеров предъявляемым квалификационным требованиям, установленным конкурсной документацией, организатор конкурса уведомляет потенциального частного партнера об устранении выявленных несоответствий.</w:t>
      </w:r>
    </w:p>
    <w:bookmarkEnd w:id="162"/>
    <w:bookmarkStart w:name="z186" w:id="163"/>
    <w:p>
      <w:pPr>
        <w:spacing w:after="0"/>
        <w:ind w:left="0"/>
        <w:jc w:val="both"/>
      </w:pPr>
      <w:r>
        <w:rPr>
          <w:rFonts w:ascii="Times New Roman"/>
          <w:b w:val="false"/>
          <w:i w:val="false"/>
          <w:color w:val="000000"/>
          <w:sz w:val="28"/>
        </w:rPr>
        <w:t>
      Со дня направления уведомления и до представления соответствующих документов сроки проведения квалификационного отбора приостанавливаются.</w:t>
      </w:r>
    </w:p>
    <w:bookmarkEnd w:id="163"/>
    <w:bookmarkStart w:name="z187" w:id="164"/>
    <w:p>
      <w:pPr>
        <w:spacing w:after="0"/>
        <w:ind w:left="0"/>
        <w:jc w:val="both"/>
      </w:pPr>
      <w:r>
        <w:rPr>
          <w:rFonts w:ascii="Times New Roman"/>
          <w:b w:val="false"/>
          <w:i w:val="false"/>
          <w:color w:val="000000"/>
          <w:sz w:val="28"/>
        </w:rPr>
        <w:t>
      Потенциальный частный партнер, представивший соответствующие документы позже установленного в уведомлении срока признаются не прошедшими квалификационный отбор.</w:t>
      </w:r>
    </w:p>
    <w:bookmarkEnd w:id="164"/>
    <w:bookmarkStart w:name="z188" w:id="165"/>
    <w:p>
      <w:pPr>
        <w:spacing w:after="0"/>
        <w:ind w:left="0"/>
        <w:jc w:val="both"/>
      </w:pPr>
      <w:r>
        <w:rPr>
          <w:rFonts w:ascii="Times New Roman"/>
          <w:b w:val="false"/>
          <w:i w:val="false"/>
          <w:color w:val="000000"/>
          <w:sz w:val="28"/>
        </w:rPr>
        <w:t>
      87. Результаты квалификационного отбора выносятся на рассмотрение Комиссии, решение которой оформляется протоколом.</w:t>
      </w:r>
    </w:p>
    <w:bookmarkEnd w:id="165"/>
    <w:bookmarkStart w:name="z189" w:id="166"/>
    <w:p>
      <w:pPr>
        <w:spacing w:after="0"/>
        <w:ind w:left="0"/>
        <w:jc w:val="both"/>
      </w:pPr>
      <w:r>
        <w:rPr>
          <w:rFonts w:ascii="Times New Roman"/>
          <w:b w:val="false"/>
          <w:i w:val="false"/>
          <w:color w:val="000000"/>
          <w:sz w:val="28"/>
        </w:rPr>
        <w:t>
      Потенциальный частный партнер, прошедший квалификационный отбор, признается участником конкурса по определению частного партнера.</w:t>
      </w:r>
    </w:p>
    <w:bookmarkEnd w:id="166"/>
    <w:bookmarkStart w:name="z190" w:id="167"/>
    <w:p>
      <w:pPr>
        <w:spacing w:after="0"/>
        <w:ind w:left="0"/>
        <w:jc w:val="both"/>
      </w:pPr>
      <w:r>
        <w:rPr>
          <w:rFonts w:ascii="Times New Roman"/>
          <w:b w:val="false"/>
          <w:i w:val="false"/>
          <w:color w:val="000000"/>
          <w:sz w:val="28"/>
        </w:rPr>
        <w:t>
      Результаты квалификационного отбора направляются потенциальным частным партнерам организатором конкурса в течение 2 (двух) рабочих дней со дня окончания квалификационного отбора.";</w:t>
      </w:r>
    </w:p>
    <w:bookmarkEnd w:id="1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109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пункты 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и </w:t>
      </w:r>
      <w:r>
        <w:rPr>
          <w:rFonts w:ascii="Times New Roman"/>
          <w:b w:val="false"/>
          <w:i w:val="false"/>
          <w:color w:val="000000"/>
          <w:sz w:val="28"/>
        </w:rPr>
        <w:t>120</w:t>
      </w:r>
      <w:r>
        <w:rPr>
          <w:rFonts w:ascii="Times New Roman"/>
          <w:b w:val="false"/>
          <w:i w:val="false"/>
          <w:color w:val="000000"/>
          <w:sz w:val="28"/>
        </w:rPr>
        <w:t xml:space="preserve"> изложить в следующей редакции:</w:t>
      </w:r>
    </w:p>
    <w:bookmarkStart w:name="z193" w:id="168"/>
    <w:p>
      <w:pPr>
        <w:spacing w:after="0"/>
        <w:ind w:left="0"/>
        <w:jc w:val="both"/>
      </w:pPr>
      <w:r>
        <w:rPr>
          <w:rFonts w:ascii="Times New Roman"/>
          <w:b w:val="false"/>
          <w:i w:val="false"/>
          <w:color w:val="000000"/>
          <w:sz w:val="28"/>
        </w:rPr>
        <w:t>
      "118. Целью проведения экспертизы проекта договора ГЧП, в том числе при внесении в него изменений и (или) дополнений, является анализ проекта договора ГЧП, в том числе при внесении в него изменений и (или) дополнений, выработка рекомендаций для Комиссии и иных заинтересованных лиц по обеспечению эффективности реализации проекта ГЧП и управлению рисками.</w:t>
      </w:r>
    </w:p>
    <w:bookmarkEnd w:id="168"/>
    <w:bookmarkStart w:name="z194" w:id="169"/>
    <w:p>
      <w:pPr>
        <w:spacing w:after="0"/>
        <w:ind w:left="0"/>
        <w:jc w:val="both"/>
      </w:pPr>
      <w:r>
        <w:rPr>
          <w:rFonts w:ascii="Times New Roman"/>
          <w:b w:val="false"/>
          <w:i w:val="false"/>
          <w:color w:val="000000"/>
          <w:sz w:val="28"/>
        </w:rPr>
        <w:t>
      119. Заключение экспертизы проекта договора ГЧП содержит:</w:t>
      </w:r>
    </w:p>
    <w:bookmarkEnd w:id="169"/>
    <w:bookmarkStart w:name="z195" w:id="170"/>
    <w:p>
      <w:pPr>
        <w:spacing w:after="0"/>
        <w:ind w:left="0"/>
        <w:jc w:val="both"/>
      </w:pPr>
      <w:r>
        <w:rPr>
          <w:rFonts w:ascii="Times New Roman"/>
          <w:b w:val="false"/>
          <w:i w:val="false"/>
          <w:color w:val="000000"/>
          <w:sz w:val="28"/>
        </w:rPr>
        <w:t>
      1) анализ проекта договора в соответствии с условиями конкурса, начальными параметрами конкурсной заявки потенциального частного партнера, с учетом положений протокола об определении лучшей конкурсной заявки и протокола по уточнению проекта ГЧП и условий договора ГЧП;</w:t>
      </w:r>
    </w:p>
    <w:bookmarkEnd w:id="170"/>
    <w:bookmarkStart w:name="z196" w:id="171"/>
    <w:p>
      <w:pPr>
        <w:spacing w:after="0"/>
        <w:ind w:left="0"/>
        <w:jc w:val="both"/>
      </w:pPr>
      <w:r>
        <w:rPr>
          <w:rFonts w:ascii="Times New Roman"/>
          <w:b w:val="false"/>
          <w:i w:val="false"/>
          <w:color w:val="000000"/>
          <w:sz w:val="28"/>
        </w:rPr>
        <w:t>
      2) анализ рисков государственного партнера и частного партнера, включая оценку влияния изменений внешних условий на реализацию проекта ГЧП;</w:t>
      </w:r>
    </w:p>
    <w:bookmarkEnd w:id="171"/>
    <w:bookmarkStart w:name="z197" w:id="172"/>
    <w:p>
      <w:pPr>
        <w:spacing w:after="0"/>
        <w:ind w:left="0"/>
        <w:jc w:val="both"/>
      </w:pPr>
      <w:r>
        <w:rPr>
          <w:rFonts w:ascii="Times New Roman"/>
          <w:b w:val="false"/>
          <w:i w:val="false"/>
          <w:color w:val="000000"/>
          <w:sz w:val="28"/>
        </w:rPr>
        <w:t>
      3) анализ мер, объемов и условий предоставления государственной поддержки деятельности субъектов ГЧП, а также возмещения затрат и получения доходов субъектов ГЧП;</w:t>
      </w:r>
    </w:p>
    <w:bookmarkEnd w:id="172"/>
    <w:bookmarkStart w:name="z198" w:id="173"/>
    <w:p>
      <w:pPr>
        <w:spacing w:after="0"/>
        <w:ind w:left="0"/>
        <w:jc w:val="both"/>
      </w:pPr>
      <w:r>
        <w:rPr>
          <w:rFonts w:ascii="Times New Roman"/>
          <w:b w:val="false"/>
          <w:i w:val="false"/>
          <w:color w:val="000000"/>
          <w:sz w:val="28"/>
        </w:rPr>
        <w:t>
      4) анализ ответственности сторон, условий рассмотрения споров, возможных к возникновению в рамках реализации проекта ГЧП;</w:t>
      </w:r>
    </w:p>
    <w:bookmarkEnd w:id="173"/>
    <w:bookmarkStart w:name="z199" w:id="174"/>
    <w:p>
      <w:pPr>
        <w:spacing w:after="0"/>
        <w:ind w:left="0"/>
        <w:jc w:val="both"/>
      </w:pPr>
      <w:r>
        <w:rPr>
          <w:rFonts w:ascii="Times New Roman"/>
          <w:b w:val="false"/>
          <w:i w:val="false"/>
          <w:color w:val="000000"/>
          <w:sz w:val="28"/>
        </w:rPr>
        <w:t>
      5) выводы и рекомендации.</w:t>
      </w:r>
    </w:p>
    <w:bookmarkEnd w:id="174"/>
    <w:bookmarkStart w:name="z200" w:id="175"/>
    <w:p>
      <w:pPr>
        <w:spacing w:after="0"/>
        <w:ind w:left="0"/>
        <w:jc w:val="both"/>
      </w:pPr>
      <w:r>
        <w:rPr>
          <w:rFonts w:ascii="Times New Roman"/>
          <w:b w:val="false"/>
          <w:i w:val="false"/>
          <w:color w:val="000000"/>
          <w:sz w:val="28"/>
        </w:rPr>
        <w:t>
      120. Заключение экспертизы проекта договора ГЧП при внесении в него изменений и (или) дополнений содержит:</w:t>
      </w:r>
    </w:p>
    <w:bookmarkEnd w:id="175"/>
    <w:bookmarkStart w:name="z201" w:id="176"/>
    <w:p>
      <w:pPr>
        <w:spacing w:after="0"/>
        <w:ind w:left="0"/>
        <w:jc w:val="both"/>
      </w:pPr>
      <w:r>
        <w:rPr>
          <w:rFonts w:ascii="Times New Roman"/>
          <w:b w:val="false"/>
          <w:i w:val="false"/>
          <w:color w:val="000000"/>
          <w:sz w:val="28"/>
        </w:rPr>
        <w:t>
      1) анализ вносимых изменений и дополнений в проект договора ГЧП в соответствии с условиями конкурса, начальными параметрами конкурсной заявки потенциального частного партнера, с учетом положений протокола об определении лучшей конкурсной заявки и протокола по уточнению проекта ГЧП и условий договора ГЧП;</w:t>
      </w:r>
    </w:p>
    <w:bookmarkEnd w:id="176"/>
    <w:bookmarkStart w:name="z202" w:id="177"/>
    <w:p>
      <w:pPr>
        <w:spacing w:after="0"/>
        <w:ind w:left="0"/>
        <w:jc w:val="both"/>
      </w:pPr>
      <w:r>
        <w:rPr>
          <w:rFonts w:ascii="Times New Roman"/>
          <w:b w:val="false"/>
          <w:i w:val="false"/>
          <w:color w:val="000000"/>
          <w:sz w:val="28"/>
        </w:rPr>
        <w:t>
      2) анализ финансового состояния частного партнера по итогам предыдущего финансового года;</w:t>
      </w:r>
    </w:p>
    <w:bookmarkEnd w:id="177"/>
    <w:bookmarkStart w:name="z203" w:id="178"/>
    <w:p>
      <w:pPr>
        <w:spacing w:after="0"/>
        <w:ind w:left="0"/>
        <w:jc w:val="both"/>
      </w:pPr>
      <w:r>
        <w:rPr>
          <w:rFonts w:ascii="Times New Roman"/>
          <w:b w:val="false"/>
          <w:i w:val="false"/>
          <w:color w:val="000000"/>
          <w:sz w:val="28"/>
        </w:rPr>
        <w:t>
      3) анализ рисков государственного партнера и частного партнера при внесении в договоры ГЧП изменений и дополнений, включая влияние изменений внешних условий на реализацию проекта ГЧП;</w:t>
      </w:r>
    </w:p>
    <w:bookmarkEnd w:id="178"/>
    <w:bookmarkStart w:name="z204" w:id="179"/>
    <w:p>
      <w:pPr>
        <w:spacing w:after="0"/>
        <w:ind w:left="0"/>
        <w:jc w:val="both"/>
      </w:pPr>
      <w:r>
        <w:rPr>
          <w:rFonts w:ascii="Times New Roman"/>
          <w:b w:val="false"/>
          <w:i w:val="false"/>
          <w:color w:val="000000"/>
          <w:sz w:val="28"/>
        </w:rPr>
        <w:t>
      4) анализ соответствия вносимых изменений и дополнений по мерам, объемам и условиям предоставления государственной поддержки деятельности субъектов ГЧП, а также возмещения затрат и получения доходов субъектов ГЧП, указанных в договорах ГЧП;</w:t>
      </w:r>
    </w:p>
    <w:bookmarkEnd w:id="179"/>
    <w:bookmarkStart w:name="z205" w:id="180"/>
    <w:p>
      <w:pPr>
        <w:spacing w:after="0"/>
        <w:ind w:left="0"/>
        <w:jc w:val="both"/>
      </w:pPr>
      <w:r>
        <w:rPr>
          <w:rFonts w:ascii="Times New Roman"/>
          <w:b w:val="false"/>
          <w:i w:val="false"/>
          <w:color w:val="000000"/>
          <w:sz w:val="28"/>
        </w:rPr>
        <w:t>
      5) анализ влияния вносимых изменений и дополнений в договоры ГЧП на ход реализации проекта ГЧП;</w:t>
      </w:r>
    </w:p>
    <w:bookmarkEnd w:id="180"/>
    <w:bookmarkStart w:name="z206" w:id="181"/>
    <w:p>
      <w:pPr>
        <w:spacing w:after="0"/>
        <w:ind w:left="0"/>
        <w:jc w:val="both"/>
      </w:pPr>
      <w:r>
        <w:rPr>
          <w:rFonts w:ascii="Times New Roman"/>
          <w:b w:val="false"/>
          <w:i w:val="false"/>
          <w:color w:val="000000"/>
          <w:sz w:val="28"/>
        </w:rPr>
        <w:t>
      6) анализ ответственности сторон, условий рассмотрения споров, возможных к возникновению в рамках реализации проекта ГЧП;</w:t>
      </w:r>
    </w:p>
    <w:bookmarkEnd w:id="181"/>
    <w:bookmarkStart w:name="z207" w:id="182"/>
    <w:p>
      <w:pPr>
        <w:spacing w:after="0"/>
        <w:ind w:left="0"/>
        <w:jc w:val="both"/>
      </w:pPr>
      <w:r>
        <w:rPr>
          <w:rFonts w:ascii="Times New Roman"/>
          <w:b w:val="false"/>
          <w:i w:val="false"/>
          <w:color w:val="000000"/>
          <w:sz w:val="28"/>
        </w:rPr>
        <w:t>
      7) выводы и рекомендации.";</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131</w:t>
      </w:r>
      <w:r>
        <w:rPr>
          <w:rFonts w:ascii="Times New Roman"/>
          <w:b w:val="false"/>
          <w:i w:val="false"/>
          <w:color w:val="000000"/>
          <w:sz w:val="28"/>
        </w:rPr>
        <w:t xml:space="preserve"> изложить в следующей редакции:</w:t>
      </w:r>
    </w:p>
    <w:bookmarkStart w:name="z209" w:id="183"/>
    <w:p>
      <w:pPr>
        <w:spacing w:after="0"/>
        <w:ind w:left="0"/>
        <w:jc w:val="both"/>
      </w:pPr>
      <w:r>
        <w:rPr>
          <w:rFonts w:ascii="Times New Roman"/>
          <w:b w:val="false"/>
          <w:i w:val="false"/>
          <w:color w:val="000000"/>
          <w:sz w:val="28"/>
        </w:rPr>
        <w:t>
      "131. Первый этап конкурса по определению частного партнера с использованием двухэтапных процедур предусматривает:</w:t>
      </w:r>
    </w:p>
    <w:bookmarkEnd w:id="183"/>
    <w:bookmarkStart w:name="z210" w:id="184"/>
    <w:p>
      <w:pPr>
        <w:spacing w:after="0"/>
        <w:ind w:left="0"/>
        <w:jc w:val="both"/>
      </w:pPr>
      <w:r>
        <w:rPr>
          <w:rFonts w:ascii="Times New Roman"/>
          <w:b w:val="false"/>
          <w:i w:val="false"/>
          <w:color w:val="000000"/>
          <w:sz w:val="28"/>
        </w:rPr>
        <w:t>
      1) формирование организатором конкурса технического задания;</w:t>
      </w:r>
    </w:p>
    <w:bookmarkEnd w:id="184"/>
    <w:bookmarkStart w:name="z211" w:id="185"/>
    <w:p>
      <w:pPr>
        <w:spacing w:after="0"/>
        <w:ind w:left="0"/>
        <w:jc w:val="both"/>
      </w:pPr>
      <w:r>
        <w:rPr>
          <w:rFonts w:ascii="Times New Roman"/>
          <w:b w:val="false"/>
          <w:i w:val="false"/>
          <w:color w:val="000000"/>
          <w:sz w:val="28"/>
        </w:rPr>
        <w:t>
      2) опубликование объявления о проведении конкурса по определению частного партнера с использованием двухэтапных процедур.</w:t>
      </w:r>
    </w:p>
    <w:bookmarkEnd w:id="185"/>
    <w:bookmarkStart w:name="z212" w:id="186"/>
    <w:p>
      <w:pPr>
        <w:spacing w:after="0"/>
        <w:ind w:left="0"/>
        <w:jc w:val="both"/>
      </w:pPr>
      <w:r>
        <w:rPr>
          <w:rFonts w:ascii="Times New Roman"/>
          <w:b w:val="false"/>
          <w:i w:val="false"/>
          <w:color w:val="000000"/>
          <w:sz w:val="28"/>
        </w:rPr>
        <w:t>
      Информация о проведении конкурса по определению частного партнера с использованием двухэтапных процедур включает в себя сведения о проекте ГЧП, о дате, месте и времени представления потенциальным частным партнером технических предложений, разработанных в соответствии с техническим заданием;</w:t>
      </w:r>
    </w:p>
    <w:bookmarkEnd w:id="186"/>
    <w:bookmarkStart w:name="z213" w:id="187"/>
    <w:p>
      <w:pPr>
        <w:spacing w:after="0"/>
        <w:ind w:left="0"/>
        <w:jc w:val="both"/>
      </w:pPr>
      <w:r>
        <w:rPr>
          <w:rFonts w:ascii="Times New Roman"/>
          <w:b w:val="false"/>
          <w:i w:val="false"/>
          <w:color w:val="000000"/>
          <w:sz w:val="28"/>
        </w:rPr>
        <w:t>
      3) представление организатором конкурса технического задания потенциальным частным партнерам.</w:t>
      </w:r>
    </w:p>
    <w:bookmarkEnd w:id="187"/>
    <w:bookmarkStart w:name="z214" w:id="188"/>
    <w:p>
      <w:pPr>
        <w:spacing w:after="0"/>
        <w:ind w:left="0"/>
        <w:jc w:val="both"/>
      </w:pPr>
      <w:r>
        <w:rPr>
          <w:rFonts w:ascii="Times New Roman"/>
          <w:b w:val="false"/>
          <w:i w:val="false"/>
          <w:color w:val="000000"/>
          <w:sz w:val="28"/>
        </w:rPr>
        <w:t>
      На данном этапе организатор конкурса также представляет потенциальным частным партнерам квалификационные требования;</w:t>
      </w:r>
    </w:p>
    <w:bookmarkEnd w:id="188"/>
    <w:bookmarkStart w:name="z215" w:id="189"/>
    <w:p>
      <w:pPr>
        <w:spacing w:after="0"/>
        <w:ind w:left="0"/>
        <w:jc w:val="both"/>
      </w:pPr>
      <w:r>
        <w:rPr>
          <w:rFonts w:ascii="Times New Roman"/>
          <w:b w:val="false"/>
          <w:i w:val="false"/>
          <w:color w:val="000000"/>
          <w:sz w:val="28"/>
        </w:rPr>
        <w:t>
      4) представление потенциальным частным партнером технических предложений, разработанных в соответствии с техническим заданием.</w:t>
      </w:r>
    </w:p>
    <w:bookmarkEnd w:id="189"/>
    <w:bookmarkStart w:name="z216" w:id="190"/>
    <w:p>
      <w:pPr>
        <w:spacing w:after="0"/>
        <w:ind w:left="0"/>
        <w:jc w:val="both"/>
      </w:pPr>
      <w:r>
        <w:rPr>
          <w:rFonts w:ascii="Times New Roman"/>
          <w:b w:val="false"/>
          <w:i w:val="false"/>
          <w:color w:val="000000"/>
          <w:sz w:val="28"/>
        </w:rPr>
        <w:t>
      На данном этапе потенциальный частный партнер также представляет документы, подтверждающие соответствие предъявляемым квалификационным требованиям, на основе которых организатор конкурса проводит квалификационный отбор;</w:t>
      </w:r>
    </w:p>
    <w:bookmarkEnd w:id="190"/>
    <w:bookmarkStart w:name="z217" w:id="191"/>
    <w:p>
      <w:pPr>
        <w:spacing w:after="0"/>
        <w:ind w:left="0"/>
        <w:jc w:val="both"/>
      </w:pPr>
      <w:r>
        <w:rPr>
          <w:rFonts w:ascii="Times New Roman"/>
          <w:b w:val="false"/>
          <w:i w:val="false"/>
          <w:color w:val="000000"/>
          <w:sz w:val="28"/>
        </w:rPr>
        <w:t>
      5) рассмотрение организатором конкурса технических предложений и обсуждение с потенциальными частными партнерами вопросов, касающихся технико-экономических и эксплуатационных характеристик объекта ГЧП и условий проекта договора ГЧП.</w:t>
      </w:r>
    </w:p>
    <w:bookmarkEnd w:id="191"/>
    <w:bookmarkStart w:name="z218" w:id="192"/>
    <w:p>
      <w:pPr>
        <w:spacing w:after="0"/>
        <w:ind w:left="0"/>
        <w:jc w:val="both"/>
      </w:pPr>
      <w:r>
        <w:rPr>
          <w:rFonts w:ascii="Times New Roman"/>
          <w:b w:val="false"/>
          <w:i w:val="false"/>
          <w:color w:val="000000"/>
          <w:sz w:val="28"/>
        </w:rPr>
        <w:t>
      На данном этапе организатором конкурса в случае необходимости формирования оптимальных решений по финансовым, юридическим и иным параметрам проекта ГЧП, с учетом потребностей и возможностей каждого из заинтересованных потенциальных частных партнеров организуется конкурентный диалог.</w:t>
      </w:r>
    </w:p>
    <w:bookmarkEnd w:id="192"/>
    <w:bookmarkStart w:name="z219" w:id="193"/>
    <w:p>
      <w:pPr>
        <w:spacing w:after="0"/>
        <w:ind w:left="0"/>
        <w:jc w:val="both"/>
      </w:pPr>
      <w:r>
        <w:rPr>
          <w:rFonts w:ascii="Times New Roman"/>
          <w:b w:val="false"/>
          <w:i w:val="false"/>
          <w:color w:val="000000"/>
          <w:sz w:val="28"/>
        </w:rPr>
        <w:t>
      Все участники конкурентного диалога соблюдают конфиденциальность информации, полученной в ходе его проведения;</w:t>
      </w:r>
    </w:p>
    <w:bookmarkEnd w:id="193"/>
    <w:bookmarkStart w:name="z220" w:id="194"/>
    <w:p>
      <w:pPr>
        <w:spacing w:after="0"/>
        <w:ind w:left="0"/>
        <w:jc w:val="both"/>
      </w:pPr>
      <w:r>
        <w:rPr>
          <w:rFonts w:ascii="Times New Roman"/>
          <w:b w:val="false"/>
          <w:i w:val="false"/>
          <w:color w:val="000000"/>
          <w:sz w:val="28"/>
        </w:rPr>
        <w:t>
      6) разработка и утверждение организатором конкурса конкурсной документации.</w:t>
      </w:r>
    </w:p>
    <w:bookmarkEnd w:id="194"/>
    <w:bookmarkStart w:name="z221" w:id="195"/>
    <w:p>
      <w:pPr>
        <w:spacing w:after="0"/>
        <w:ind w:left="0"/>
        <w:jc w:val="both"/>
      </w:pPr>
      <w:r>
        <w:rPr>
          <w:rFonts w:ascii="Times New Roman"/>
          <w:b w:val="false"/>
          <w:i w:val="false"/>
          <w:color w:val="000000"/>
          <w:sz w:val="28"/>
        </w:rPr>
        <w:t>
      Организатор конкурса осуществляет разработку конкурсной документации на основании результатов обсуждения с потенциальными частными партнерами вопросов, касающихся технико-экономических и эксплуатационных характеристик объекта ГЧП и условий проекта договора ГЧП и конкурентного диалога;</w:t>
      </w:r>
    </w:p>
    <w:bookmarkEnd w:id="195"/>
    <w:bookmarkStart w:name="z222" w:id="196"/>
    <w:p>
      <w:pPr>
        <w:spacing w:after="0"/>
        <w:ind w:left="0"/>
        <w:jc w:val="both"/>
      </w:pPr>
      <w:r>
        <w:rPr>
          <w:rFonts w:ascii="Times New Roman"/>
          <w:b w:val="false"/>
          <w:i w:val="false"/>
          <w:color w:val="000000"/>
          <w:sz w:val="28"/>
        </w:rPr>
        <w:t>
      7) направление организатором конкурса приглашения потенциальным частным партнерам, представившим на первом этапе технические предложения принять участие во втором этапе конкурса по определению частного партнера.";</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134</w:t>
      </w:r>
      <w:r>
        <w:rPr>
          <w:rFonts w:ascii="Times New Roman"/>
          <w:b w:val="false"/>
          <w:i w:val="false"/>
          <w:color w:val="000000"/>
          <w:sz w:val="28"/>
        </w:rPr>
        <w:t xml:space="preserve"> изложить в следующей редакции:</w:t>
      </w:r>
    </w:p>
    <w:bookmarkStart w:name="z224" w:id="197"/>
    <w:p>
      <w:pPr>
        <w:spacing w:after="0"/>
        <w:ind w:left="0"/>
        <w:jc w:val="both"/>
      </w:pPr>
      <w:r>
        <w:rPr>
          <w:rFonts w:ascii="Times New Roman"/>
          <w:b w:val="false"/>
          <w:i w:val="false"/>
          <w:color w:val="000000"/>
          <w:sz w:val="28"/>
        </w:rPr>
        <w:t xml:space="preserve">
      "134. Конкурс по определению частного партнера с использованием упрощенных конкурсных процедур проводится в соответствии с положениями </w:t>
      </w:r>
      <w:r>
        <w:rPr>
          <w:rFonts w:ascii="Times New Roman"/>
          <w:b w:val="false"/>
          <w:i w:val="false"/>
          <w:color w:val="000000"/>
          <w:sz w:val="28"/>
        </w:rPr>
        <w:t>пункта 76</w:t>
      </w:r>
      <w:r>
        <w:rPr>
          <w:rFonts w:ascii="Times New Roman"/>
          <w:b w:val="false"/>
          <w:i w:val="false"/>
          <w:color w:val="000000"/>
          <w:sz w:val="28"/>
        </w:rPr>
        <w:t xml:space="preserve"> настоящих Правил, с учетом следующих особенностей:</w:t>
      </w:r>
    </w:p>
    <w:bookmarkEnd w:id="197"/>
    <w:bookmarkStart w:name="z225" w:id="198"/>
    <w:p>
      <w:pPr>
        <w:spacing w:after="0"/>
        <w:ind w:left="0"/>
        <w:jc w:val="both"/>
      </w:pPr>
      <w:r>
        <w:rPr>
          <w:rFonts w:ascii="Times New Roman"/>
          <w:b w:val="false"/>
          <w:i w:val="false"/>
          <w:color w:val="000000"/>
          <w:sz w:val="28"/>
        </w:rPr>
        <w:t>
      без проведения квалификационного отбора к конкурсу по определению частного партнера допускаются потенциальные частные партнеры из реестра потенциальных частных партнеров, формируемого Национальной палатой предпринимателей Республики Казахстан "Атамекен". Если потенциальный частный партнер не состоит в данном реестре, то организатор конкурса проводит квалификационный отбор в течение 5 (пяти) рабочих дней с момента представления потенциальным частным партнером документов в подтверждение соответствия квалификационным требованиям;</w:t>
      </w:r>
    </w:p>
    <w:bookmarkEnd w:id="198"/>
    <w:bookmarkStart w:name="z226" w:id="199"/>
    <w:p>
      <w:pPr>
        <w:spacing w:after="0"/>
        <w:ind w:left="0"/>
        <w:jc w:val="both"/>
      </w:pPr>
      <w:r>
        <w:rPr>
          <w:rFonts w:ascii="Times New Roman"/>
          <w:b w:val="false"/>
          <w:i w:val="false"/>
          <w:color w:val="000000"/>
          <w:sz w:val="28"/>
        </w:rPr>
        <w:t xml:space="preserve">
      утверждение конкурсной документации, подписание договора ГЧП осуществляется без проведения экспертиз, предусмотренных </w:t>
      </w:r>
      <w:r>
        <w:rPr>
          <w:rFonts w:ascii="Times New Roman"/>
          <w:b w:val="false"/>
          <w:i w:val="false"/>
          <w:color w:val="000000"/>
          <w:sz w:val="28"/>
        </w:rPr>
        <w:t>статьей 25</w:t>
      </w:r>
      <w:r>
        <w:rPr>
          <w:rFonts w:ascii="Times New Roman"/>
          <w:b w:val="false"/>
          <w:i w:val="false"/>
          <w:color w:val="000000"/>
          <w:sz w:val="28"/>
        </w:rPr>
        <w:t xml:space="preserve"> Закона.";</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138</w:t>
      </w:r>
      <w:r>
        <w:rPr>
          <w:rFonts w:ascii="Times New Roman"/>
          <w:b w:val="false"/>
          <w:i w:val="false"/>
          <w:color w:val="000000"/>
          <w:sz w:val="28"/>
        </w:rPr>
        <w:t xml:space="preserve"> изложить в следующей редакции:</w:t>
      </w:r>
    </w:p>
    <w:bookmarkStart w:name="z228" w:id="200"/>
    <w:p>
      <w:pPr>
        <w:spacing w:after="0"/>
        <w:ind w:left="0"/>
        <w:jc w:val="both"/>
      </w:pPr>
      <w:r>
        <w:rPr>
          <w:rFonts w:ascii="Times New Roman"/>
          <w:b w:val="false"/>
          <w:i w:val="false"/>
          <w:color w:val="000000"/>
          <w:sz w:val="28"/>
        </w:rPr>
        <w:t>
      "138. Организация и проведение прямых переговоров по определению частного партнера осуществляется посредством следующих последовательных стадий:</w:t>
      </w:r>
    </w:p>
    <w:bookmarkEnd w:id="200"/>
    <w:bookmarkStart w:name="z229" w:id="201"/>
    <w:p>
      <w:pPr>
        <w:spacing w:after="0"/>
        <w:ind w:left="0"/>
        <w:jc w:val="both"/>
      </w:pPr>
      <w:r>
        <w:rPr>
          <w:rFonts w:ascii="Times New Roman"/>
          <w:b w:val="false"/>
          <w:i w:val="false"/>
          <w:color w:val="000000"/>
          <w:sz w:val="28"/>
        </w:rPr>
        <w:t>
      1) инициирование проекта ГЧП потенциальным частным партнером.</w:t>
      </w:r>
    </w:p>
    <w:bookmarkEnd w:id="201"/>
    <w:bookmarkStart w:name="z230" w:id="202"/>
    <w:p>
      <w:pPr>
        <w:spacing w:after="0"/>
        <w:ind w:left="0"/>
        <w:jc w:val="both"/>
      </w:pPr>
      <w:r>
        <w:rPr>
          <w:rFonts w:ascii="Times New Roman"/>
          <w:b w:val="false"/>
          <w:i w:val="false"/>
          <w:color w:val="000000"/>
          <w:sz w:val="28"/>
        </w:rPr>
        <w:t>
      На этой стадии потенциальный частный партнер вносит уполномоченному лицу заявку на участие в прямых переговорах по определению частного партнера, содержащую:</w:t>
      </w:r>
    </w:p>
    <w:bookmarkEnd w:id="202"/>
    <w:bookmarkStart w:name="z231" w:id="203"/>
    <w:p>
      <w:pPr>
        <w:spacing w:after="0"/>
        <w:ind w:left="0"/>
        <w:jc w:val="both"/>
      </w:pPr>
      <w:r>
        <w:rPr>
          <w:rFonts w:ascii="Times New Roman"/>
          <w:b w:val="false"/>
          <w:i w:val="false"/>
          <w:color w:val="000000"/>
          <w:sz w:val="28"/>
        </w:rPr>
        <w:t>
      наименование и адрес потенциального частного партнера;</w:t>
      </w:r>
    </w:p>
    <w:bookmarkEnd w:id="203"/>
    <w:bookmarkStart w:name="z232" w:id="204"/>
    <w:p>
      <w:pPr>
        <w:spacing w:after="0"/>
        <w:ind w:left="0"/>
        <w:jc w:val="both"/>
      </w:pPr>
      <w:r>
        <w:rPr>
          <w:rFonts w:ascii="Times New Roman"/>
          <w:b w:val="false"/>
          <w:i w:val="false"/>
          <w:color w:val="000000"/>
          <w:sz w:val="28"/>
        </w:rPr>
        <w:t>
      государственную принадлежность (для юридических лиц), гражданство (для физических лиц);</w:t>
      </w:r>
    </w:p>
    <w:bookmarkEnd w:id="204"/>
    <w:bookmarkStart w:name="z233" w:id="205"/>
    <w:p>
      <w:pPr>
        <w:spacing w:after="0"/>
        <w:ind w:left="0"/>
        <w:jc w:val="both"/>
      </w:pPr>
      <w:r>
        <w:rPr>
          <w:rFonts w:ascii="Times New Roman"/>
          <w:b w:val="false"/>
          <w:i w:val="false"/>
          <w:color w:val="000000"/>
          <w:sz w:val="28"/>
        </w:rPr>
        <w:t>
      данные о руководителях или владельцах юридических лиц и лицах, которые будут представлять потенциального частного партнера;</w:t>
      </w:r>
    </w:p>
    <w:bookmarkEnd w:id="205"/>
    <w:bookmarkStart w:name="z234" w:id="206"/>
    <w:p>
      <w:pPr>
        <w:spacing w:after="0"/>
        <w:ind w:left="0"/>
        <w:jc w:val="both"/>
      </w:pPr>
      <w:r>
        <w:rPr>
          <w:rFonts w:ascii="Times New Roman"/>
          <w:b w:val="false"/>
          <w:i w:val="false"/>
          <w:color w:val="000000"/>
          <w:sz w:val="28"/>
        </w:rPr>
        <w:t xml:space="preserve">
      документы, подтверждающие права собственности или долгосрочной аренды в отношении объекта либо исключительные права на результаты интеллектуальной творческой деятельности, принадлежащих потенциальному частному партнеру в соответствии с </w:t>
      </w:r>
      <w:r>
        <w:rPr>
          <w:rFonts w:ascii="Times New Roman"/>
          <w:b w:val="false"/>
          <w:i w:val="false"/>
          <w:color w:val="000000"/>
          <w:sz w:val="28"/>
        </w:rPr>
        <w:t>пунктом 137</w:t>
      </w:r>
      <w:r>
        <w:rPr>
          <w:rFonts w:ascii="Times New Roman"/>
          <w:b w:val="false"/>
          <w:i w:val="false"/>
          <w:color w:val="000000"/>
          <w:sz w:val="28"/>
        </w:rPr>
        <w:t xml:space="preserve"> настоящих Правил;</w:t>
      </w:r>
    </w:p>
    <w:bookmarkEnd w:id="206"/>
    <w:bookmarkStart w:name="z235" w:id="207"/>
    <w:p>
      <w:pPr>
        <w:spacing w:after="0"/>
        <w:ind w:left="0"/>
        <w:jc w:val="both"/>
      </w:pPr>
      <w:r>
        <w:rPr>
          <w:rFonts w:ascii="Times New Roman"/>
          <w:b w:val="false"/>
          <w:i w:val="false"/>
          <w:color w:val="000000"/>
          <w:sz w:val="28"/>
        </w:rPr>
        <w:t>
      концепцию проекта ГЧП, разработанную по структуре в соответствии с настоящими Правилами, за исключением подпунктов финансового раздела, относящихся к компетенции государственных органов.</w:t>
      </w:r>
    </w:p>
    <w:bookmarkEnd w:id="207"/>
    <w:bookmarkStart w:name="z236" w:id="208"/>
    <w:p>
      <w:pPr>
        <w:spacing w:after="0"/>
        <w:ind w:left="0"/>
        <w:jc w:val="both"/>
      </w:pPr>
      <w:r>
        <w:rPr>
          <w:rFonts w:ascii="Times New Roman"/>
          <w:b w:val="false"/>
          <w:i w:val="false"/>
          <w:color w:val="000000"/>
          <w:sz w:val="28"/>
        </w:rPr>
        <w:t>
      Заявка на участие в прямых переговорах по определению частного партнера является офертой на заключение договора ГЧП.</w:t>
      </w:r>
    </w:p>
    <w:bookmarkEnd w:id="208"/>
    <w:bookmarkStart w:name="z237" w:id="209"/>
    <w:p>
      <w:pPr>
        <w:spacing w:after="0"/>
        <w:ind w:left="0"/>
        <w:jc w:val="both"/>
      </w:pPr>
      <w:r>
        <w:rPr>
          <w:rFonts w:ascii="Times New Roman"/>
          <w:b w:val="false"/>
          <w:i w:val="false"/>
          <w:color w:val="000000"/>
          <w:sz w:val="28"/>
        </w:rPr>
        <w:t>
      Уполномоченное лицо, которому внесена заявка на участие в прямых переговорах по определению частного партнера, в течение 15 (пятнадцати) рабочих дней со дня ее поступления, определяет необходимость в реализации проекта ГЧП с отражением фактической потребности в товарах, работах и услугах, указанием на принадлежность проекта к технически сложным и (или) уникальным с подготовкой заключения за подписью первого руководителя, либо лица его замещающего, либо лица уполномоченного им.</w:t>
      </w:r>
    </w:p>
    <w:bookmarkEnd w:id="209"/>
    <w:bookmarkStart w:name="z238" w:id="210"/>
    <w:p>
      <w:pPr>
        <w:spacing w:after="0"/>
        <w:ind w:left="0"/>
        <w:jc w:val="both"/>
      </w:pPr>
      <w:r>
        <w:rPr>
          <w:rFonts w:ascii="Times New Roman"/>
          <w:b w:val="false"/>
          <w:i w:val="false"/>
          <w:color w:val="000000"/>
          <w:sz w:val="28"/>
        </w:rPr>
        <w:t>
      При этом экономическая целесообразность, в том числе предполагаемая возможность предоставления мер государственной поддержки, источников возмещения затрат и получения доходов частного партнера определяется в рамках экспертизы концепции проекта ГЧП в соответствии с подпунктом 3) настоящего пункта после принятия решения Комиссией о проведении прямых переговоров по определению частного партнера.</w:t>
      </w:r>
    </w:p>
    <w:bookmarkEnd w:id="210"/>
    <w:bookmarkStart w:name="z239" w:id="211"/>
    <w:p>
      <w:pPr>
        <w:spacing w:after="0"/>
        <w:ind w:left="0"/>
        <w:jc w:val="both"/>
      </w:pPr>
      <w:r>
        <w:rPr>
          <w:rFonts w:ascii="Times New Roman"/>
          <w:b w:val="false"/>
          <w:i w:val="false"/>
          <w:color w:val="000000"/>
          <w:sz w:val="28"/>
        </w:rPr>
        <w:t>
      Уполномоченное лицо, которому внесена заявка на участие в прямых переговорах по определению частного партнера, при необходимости уточнения и (или) обсуждения поступившей заявки запрашивает у потенциального частного партнера дополнительные материалы и (или) проводит предварительные переговоры с оформлением протокола (протоколов).</w:t>
      </w:r>
    </w:p>
    <w:bookmarkEnd w:id="211"/>
    <w:bookmarkStart w:name="z240" w:id="212"/>
    <w:p>
      <w:pPr>
        <w:spacing w:after="0"/>
        <w:ind w:left="0"/>
        <w:jc w:val="both"/>
      </w:pPr>
      <w:r>
        <w:rPr>
          <w:rFonts w:ascii="Times New Roman"/>
          <w:b w:val="false"/>
          <w:i w:val="false"/>
          <w:color w:val="000000"/>
          <w:sz w:val="28"/>
        </w:rPr>
        <w:t>
      Со дня направления уведомления о необходимости уточнения и (или) обсуждения представленной заявки до дня представления необходимой информации потенциальным частным партнером и (или) дня подписания последнего протокола предварительных переговоров срок подготовки заключения уполномоченным лицом приостанавливается.</w:t>
      </w:r>
    </w:p>
    <w:bookmarkEnd w:id="212"/>
    <w:bookmarkStart w:name="z241" w:id="213"/>
    <w:p>
      <w:pPr>
        <w:spacing w:after="0"/>
        <w:ind w:left="0"/>
        <w:jc w:val="both"/>
      </w:pPr>
      <w:r>
        <w:rPr>
          <w:rFonts w:ascii="Times New Roman"/>
          <w:b w:val="false"/>
          <w:i w:val="false"/>
          <w:color w:val="000000"/>
          <w:sz w:val="28"/>
        </w:rPr>
        <w:t>
      По итогам уточнения и (или) обсуждения представленной заявки потенциальный частный партнер может скорректировать ранее внесенную заявку.</w:t>
      </w:r>
    </w:p>
    <w:bookmarkEnd w:id="213"/>
    <w:bookmarkStart w:name="z242" w:id="214"/>
    <w:p>
      <w:pPr>
        <w:spacing w:after="0"/>
        <w:ind w:left="0"/>
        <w:jc w:val="both"/>
      </w:pPr>
      <w:r>
        <w:rPr>
          <w:rFonts w:ascii="Times New Roman"/>
          <w:b w:val="false"/>
          <w:i w:val="false"/>
          <w:color w:val="000000"/>
          <w:sz w:val="28"/>
        </w:rPr>
        <w:t>
      В случае письменного отказа от участия в предварительных переговорах, отзыве заявки и (или) непредставления необходимой информации потенциальным частным партнером в течение 20 (двадцати) рабочих дней со дня получения уведомления, внесенная заявка на участие в прямых переговорах по определению частного партнера оставляется без рассмотрения.</w:t>
      </w:r>
    </w:p>
    <w:bookmarkEnd w:id="214"/>
    <w:bookmarkStart w:name="z243" w:id="215"/>
    <w:p>
      <w:pPr>
        <w:spacing w:after="0"/>
        <w:ind w:left="0"/>
        <w:jc w:val="both"/>
      </w:pPr>
      <w:r>
        <w:rPr>
          <w:rFonts w:ascii="Times New Roman"/>
          <w:b w:val="false"/>
          <w:i w:val="false"/>
          <w:color w:val="000000"/>
          <w:sz w:val="28"/>
        </w:rPr>
        <w:t>
      2) извещение об инициировании проекта ГЧП с указанием основных технико-экономических параметров проекта ГЧП и запрашиваемых выплатах из бюджета и (или) мер государственной поддержки.</w:t>
      </w:r>
    </w:p>
    <w:bookmarkEnd w:id="215"/>
    <w:bookmarkStart w:name="z244" w:id="216"/>
    <w:p>
      <w:pPr>
        <w:spacing w:after="0"/>
        <w:ind w:left="0"/>
        <w:jc w:val="both"/>
      </w:pPr>
      <w:r>
        <w:rPr>
          <w:rFonts w:ascii="Times New Roman"/>
          <w:b w:val="false"/>
          <w:i w:val="false"/>
          <w:color w:val="000000"/>
          <w:sz w:val="28"/>
        </w:rPr>
        <w:t>
      Уполномоченное лицо размещает краткую информацию о планируемом проекте ГЧП на своем официальном интернет-ресурсе, организует размещение на иных интернет-ресурсах и в периодических печатных изданиях (не менее двух), в зависимости от специфики проекта ГЧП, с указанием требований к представлению потенциальными частными партнерами альтернативных предложений о заинтересованности в его реализации.</w:t>
      </w:r>
    </w:p>
    <w:bookmarkEnd w:id="216"/>
    <w:bookmarkStart w:name="z245" w:id="217"/>
    <w:p>
      <w:pPr>
        <w:spacing w:after="0"/>
        <w:ind w:left="0"/>
        <w:jc w:val="both"/>
      </w:pPr>
      <w:r>
        <w:rPr>
          <w:rFonts w:ascii="Times New Roman"/>
          <w:b w:val="false"/>
          <w:i w:val="false"/>
          <w:color w:val="000000"/>
          <w:sz w:val="28"/>
        </w:rPr>
        <w:t>
      В извещении указывается фактическая потребность в товарах, работах и услугах, принадлежность проекта к технически сложным и (или) уникальным, окончательный срок представления альтернативной заявки.</w:t>
      </w:r>
    </w:p>
    <w:bookmarkEnd w:id="217"/>
    <w:bookmarkStart w:name="z246" w:id="218"/>
    <w:p>
      <w:pPr>
        <w:spacing w:after="0"/>
        <w:ind w:left="0"/>
        <w:jc w:val="both"/>
      </w:pPr>
      <w:r>
        <w:rPr>
          <w:rFonts w:ascii="Times New Roman"/>
          <w:b w:val="false"/>
          <w:i w:val="false"/>
          <w:color w:val="000000"/>
          <w:sz w:val="28"/>
        </w:rPr>
        <w:t>
      Потенциальные частные партнеры, заинтересованные в реализации планируемого проекта ГЧП, представляют альтернативное предложение в соответствии с требованиями указанными в извещении, а также к заявке на участие в прямых переговорах по определению частного партнера, указанными в подпункте 1) настоящего пункта.</w:t>
      </w:r>
    </w:p>
    <w:bookmarkEnd w:id="218"/>
    <w:bookmarkStart w:name="z247" w:id="219"/>
    <w:p>
      <w:pPr>
        <w:spacing w:after="0"/>
        <w:ind w:left="0"/>
        <w:jc w:val="both"/>
      </w:pPr>
      <w:r>
        <w:rPr>
          <w:rFonts w:ascii="Times New Roman"/>
          <w:b w:val="false"/>
          <w:i w:val="false"/>
          <w:color w:val="000000"/>
          <w:sz w:val="28"/>
        </w:rPr>
        <w:t>
      В случае отсутствия альтернативных предложений, поступивших со стороны потенциальных частных партнеров в письменной форме, в течение 60 (шестидесяти) календарных дней по проектам, являющимся технически сложными и (или) уникальными, и 30 (тридцати) календарных дней по остальным проектам, либо в случаях, когда альтернативные предложения не соответствуют требованиям, указанным в данном подпункте, осуществляется определение соответствия потенциального частного партнера, инициировавшего проект ГЧП, установленным квалификационным требованиям (квалификационный отбор).</w:t>
      </w:r>
    </w:p>
    <w:bookmarkEnd w:id="219"/>
    <w:bookmarkStart w:name="z248" w:id="220"/>
    <w:p>
      <w:pPr>
        <w:spacing w:after="0"/>
        <w:ind w:left="0"/>
        <w:jc w:val="both"/>
      </w:pPr>
      <w:r>
        <w:rPr>
          <w:rFonts w:ascii="Times New Roman"/>
          <w:b w:val="false"/>
          <w:i w:val="false"/>
          <w:color w:val="000000"/>
          <w:sz w:val="28"/>
        </w:rPr>
        <w:t xml:space="preserve">
      Потенциальный частный партнер, инициировавший проект ГЧП, в срок определяемый организатором прямых переговоров, в подтверждение соответствия квалификационным требованиям представляет соответствующие документы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220"/>
    <w:bookmarkStart w:name="z249" w:id="221"/>
    <w:p>
      <w:pPr>
        <w:spacing w:after="0"/>
        <w:ind w:left="0"/>
        <w:jc w:val="both"/>
      </w:pPr>
      <w:r>
        <w:rPr>
          <w:rFonts w:ascii="Times New Roman"/>
          <w:b w:val="false"/>
          <w:i w:val="false"/>
          <w:color w:val="000000"/>
          <w:sz w:val="28"/>
        </w:rPr>
        <w:t>
      Организатор прямых переговоров осуществляет квалификационный отбор в течение 5 (пяти) рабочих дней с момента окончания срока предоставления документов.</w:t>
      </w:r>
    </w:p>
    <w:bookmarkEnd w:id="221"/>
    <w:bookmarkStart w:name="z250" w:id="222"/>
    <w:p>
      <w:pPr>
        <w:spacing w:after="0"/>
        <w:ind w:left="0"/>
        <w:jc w:val="both"/>
      </w:pPr>
      <w:r>
        <w:rPr>
          <w:rFonts w:ascii="Times New Roman"/>
          <w:b w:val="false"/>
          <w:i w:val="false"/>
          <w:color w:val="000000"/>
          <w:sz w:val="28"/>
        </w:rPr>
        <w:t>
      Потенциальный частный партнер, прошедший квалификационный отбор, признается участником прямых переговоров;</w:t>
      </w:r>
    </w:p>
    <w:bookmarkEnd w:id="222"/>
    <w:bookmarkStart w:name="z251" w:id="223"/>
    <w:p>
      <w:pPr>
        <w:spacing w:after="0"/>
        <w:ind w:left="0"/>
        <w:jc w:val="both"/>
      </w:pPr>
      <w:r>
        <w:rPr>
          <w:rFonts w:ascii="Times New Roman"/>
          <w:b w:val="false"/>
          <w:i w:val="false"/>
          <w:color w:val="000000"/>
          <w:sz w:val="28"/>
        </w:rPr>
        <w:t>
      3) экспертиза концепции проекта ГЧП государственным партнером.</w:t>
      </w:r>
    </w:p>
    <w:bookmarkEnd w:id="223"/>
    <w:bookmarkStart w:name="z252" w:id="224"/>
    <w:p>
      <w:pPr>
        <w:spacing w:after="0"/>
        <w:ind w:left="0"/>
        <w:jc w:val="both"/>
      </w:pPr>
      <w:r>
        <w:rPr>
          <w:rFonts w:ascii="Times New Roman"/>
          <w:b w:val="false"/>
          <w:i w:val="false"/>
          <w:color w:val="000000"/>
          <w:sz w:val="28"/>
        </w:rPr>
        <w:t>
      На данном этапе уполномоченное лицо (организатор прямых переговоров) создает комиссию по проведению прямых переговоров по определению частного партнера.</w:t>
      </w:r>
    </w:p>
    <w:bookmarkEnd w:id="224"/>
    <w:bookmarkStart w:name="z253" w:id="225"/>
    <w:p>
      <w:pPr>
        <w:spacing w:after="0"/>
        <w:ind w:left="0"/>
        <w:jc w:val="both"/>
      </w:pPr>
      <w:r>
        <w:rPr>
          <w:rFonts w:ascii="Times New Roman"/>
          <w:b w:val="false"/>
          <w:i w:val="false"/>
          <w:color w:val="000000"/>
          <w:sz w:val="28"/>
        </w:rPr>
        <w:t>
      Председателем комиссии по проведению прямых переговоров по определению частного партнера является первый руководитель организатора прямых переговоров либо лицо, уполномоченное им (в случае если организатором прямых переговоров является местный исполнительный орган – не ниже заместителя акима области, города республиканского значения и столицы).</w:t>
      </w:r>
    </w:p>
    <w:bookmarkEnd w:id="225"/>
    <w:bookmarkStart w:name="z254" w:id="226"/>
    <w:p>
      <w:pPr>
        <w:spacing w:after="0"/>
        <w:ind w:left="0"/>
        <w:jc w:val="both"/>
      </w:pPr>
      <w:r>
        <w:rPr>
          <w:rFonts w:ascii="Times New Roman"/>
          <w:b w:val="false"/>
          <w:i w:val="false"/>
          <w:color w:val="000000"/>
          <w:sz w:val="28"/>
        </w:rPr>
        <w:t>
      Секретарем комиссии по проведению прямых переговоров по определению частного партнера является представитель организатора прямых переговоров не ниже заместителя руководителя структурного подразделения.</w:t>
      </w:r>
    </w:p>
    <w:bookmarkEnd w:id="226"/>
    <w:bookmarkStart w:name="z255" w:id="227"/>
    <w:p>
      <w:pPr>
        <w:spacing w:after="0"/>
        <w:ind w:left="0"/>
        <w:jc w:val="both"/>
      </w:pPr>
      <w:r>
        <w:rPr>
          <w:rFonts w:ascii="Times New Roman"/>
          <w:b w:val="false"/>
          <w:i w:val="false"/>
          <w:color w:val="000000"/>
          <w:sz w:val="28"/>
        </w:rPr>
        <w:t>
      В состав комиссии по проведению прямых переговоров по определению частного партнера включаются представители центральных либо местных уполномоченных органов соответствующей отрасли, по государственному планированию.</w:t>
      </w:r>
    </w:p>
    <w:bookmarkEnd w:id="227"/>
    <w:bookmarkStart w:name="z256" w:id="228"/>
    <w:p>
      <w:pPr>
        <w:spacing w:after="0"/>
        <w:ind w:left="0"/>
        <w:jc w:val="both"/>
      </w:pPr>
      <w:r>
        <w:rPr>
          <w:rFonts w:ascii="Times New Roman"/>
          <w:b w:val="false"/>
          <w:i w:val="false"/>
          <w:color w:val="000000"/>
          <w:sz w:val="28"/>
        </w:rPr>
        <w:t>
      В состав комиссии по проведению прямых переговоров по определению частного партнера могут включаться представители иных государственных органов, организаций.</w:t>
      </w:r>
    </w:p>
    <w:bookmarkEnd w:id="228"/>
    <w:bookmarkStart w:name="z257" w:id="229"/>
    <w:p>
      <w:pPr>
        <w:spacing w:after="0"/>
        <w:ind w:left="0"/>
        <w:jc w:val="both"/>
      </w:pPr>
      <w:r>
        <w:rPr>
          <w:rFonts w:ascii="Times New Roman"/>
          <w:b w:val="false"/>
          <w:i w:val="false"/>
          <w:color w:val="000000"/>
          <w:sz w:val="28"/>
        </w:rPr>
        <w:t>
      В рамках экспертизы концепции проекта ГЧП Комиссия по проведению прямых переговоров по определению частного партнера принимает решение о необходимости доработки или одобрения концепции проекта ГЧП по результатам экспертизы.</w:t>
      </w:r>
    </w:p>
    <w:bookmarkEnd w:id="229"/>
    <w:bookmarkStart w:name="z258" w:id="230"/>
    <w:p>
      <w:pPr>
        <w:spacing w:after="0"/>
        <w:ind w:left="0"/>
        <w:jc w:val="both"/>
      </w:pPr>
      <w:r>
        <w:rPr>
          <w:rFonts w:ascii="Times New Roman"/>
          <w:b w:val="false"/>
          <w:i w:val="false"/>
          <w:color w:val="000000"/>
          <w:sz w:val="28"/>
        </w:rPr>
        <w:t>
      При проведении экспертизы концепции проекта ГЧП уполномоченным лицом проводится анализ заявки потенциального частного партнера в течение 15 (пятнадцати) рабочих дней по следующим критериям:</w:t>
      </w:r>
    </w:p>
    <w:bookmarkEnd w:id="230"/>
    <w:bookmarkStart w:name="z259" w:id="231"/>
    <w:p>
      <w:pPr>
        <w:spacing w:after="0"/>
        <w:ind w:left="0"/>
        <w:jc w:val="both"/>
      </w:pPr>
      <w:r>
        <w:rPr>
          <w:rFonts w:ascii="Times New Roman"/>
          <w:b w:val="false"/>
          <w:i w:val="false"/>
          <w:color w:val="000000"/>
          <w:sz w:val="28"/>
        </w:rPr>
        <w:t>
      1) соответствие документам Системы государственного планирования, поручениям либо актам Президента Республики Казахстан, Правительства Республики Казахстан, а также задачам и принципам ГЧП;</w:t>
      </w:r>
    </w:p>
    <w:bookmarkEnd w:id="231"/>
    <w:bookmarkStart w:name="z260" w:id="232"/>
    <w:p>
      <w:pPr>
        <w:spacing w:after="0"/>
        <w:ind w:left="0"/>
        <w:jc w:val="both"/>
      </w:pPr>
      <w:r>
        <w:rPr>
          <w:rFonts w:ascii="Times New Roman"/>
          <w:b w:val="false"/>
          <w:i w:val="false"/>
          <w:color w:val="000000"/>
          <w:sz w:val="28"/>
        </w:rPr>
        <w:t>
      2) наличие ресурсной обеспеченности для реализации инициированного проекта ГЧП;</w:t>
      </w:r>
    </w:p>
    <w:bookmarkEnd w:id="232"/>
    <w:bookmarkStart w:name="z261" w:id="233"/>
    <w:p>
      <w:pPr>
        <w:spacing w:after="0"/>
        <w:ind w:left="0"/>
        <w:jc w:val="both"/>
      </w:pPr>
      <w:r>
        <w:rPr>
          <w:rFonts w:ascii="Times New Roman"/>
          <w:b w:val="false"/>
          <w:i w:val="false"/>
          <w:color w:val="000000"/>
          <w:sz w:val="28"/>
        </w:rPr>
        <w:t>
      3) возможность реализации планируемого проекта ГЧП в рамках лимита государственных обязательств по проектам ГЧП (если инициируемый проект ГЧП предусматривает выплаты из бюджета и (или) меры государственной поддержки).</w:t>
      </w:r>
    </w:p>
    <w:bookmarkEnd w:id="233"/>
    <w:bookmarkStart w:name="z262" w:id="234"/>
    <w:p>
      <w:pPr>
        <w:spacing w:after="0"/>
        <w:ind w:left="0"/>
        <w:jc w:val="both"/>
      </w:pPr>
      <w:r>
        <w:rPr>
          <w:rFonts w:ascii="Times New Roman"/>
          <w:b w:val="false"/>
          <w:i w:val="false"/>
          <w:color w:val="000000"/>
          <w:sz w:val="28"/>
        </w:rPr>
        <w:t>
      По итогам анализа концепции проекта ГЧП организатор прямых переговоров обеспечивает все согласования и экспертизы, предусмотренные настоящими Правилами, для концепции проекта ГЧП.</w:t>
      </w:r>
    </w:p>
    <w:bookmarkEnd w:id="234"/>
    <w:bookmarkStart w:name="z263" w:id="235"/>
    <w:p>
      <w:pPr>
        <w:spacing w:after="0"/>
        <w:ind w:left="0"/>
        <w:jc w:val="both"/>
      </w:pPr>
      <w:r>
        <w:rPr>
          <w:rFonts w:ascii="Times New Roman"/>
          <w:b w:val="false"/>
          <w:i w:val="false"/>
          <w:color w:val="000000"/>
          <w:sz w:val="28"/>
        </w:rPr>
        <w:t>
      В случае, когда уполномоченное лицо, которому внесена заявка на проведение прямых переговоров является уполномоченным органом соответствующей отрасли, отраслевая экспертиза концепции проекта ГЧП проводится в рамках экспертизы концепции проекта ГЧП уполномоченным лицом.</w:t>
      </w:r>
    </w:p>
    <w:bookmarkEnd w:id="235"/>
    <w:bookmarkStart w:name="z264" w:id="236"/>
    <w:p>
      <w:pPr>
        <w:spacing w:after="0"/>
        <w:ind w:left="0"/>
        <w:jc w:val="both"/>
      </w:pPr>
      <w:r>
        <w:rPr>
          <w:rFonts w:ascii="Times New Roman"/>
          <w:b w:val="false"/>
          <w:i w:val="false"/>
          <w:color w:val="000000"/>
          <w:sz w:val="28"/>
        </w:rPr>
        <w:t>
      После получения всех необходимых согласований и экспертиз, организатор прямых переговоров в течение 3 (трех) рабочих дней уведомляет об этом потенциального частного партнера, инициировавшего проект ГЧП.</w:t>
      </w:r>
    </w:p>
    <w:bookmarkEnd w:id="236"/>
    <w:bookmarkStart w:name="z265" w:id="237"/>
    <w:p>
      <w:pPr>
        <w:spacing w:after="0"/>
        <w:ind w:left="0"/>
        <w:jc w:val="both"/>
      </w:pPr>
      <w:r>
        <w:rPr>
          <w:rFonts w:ascii="Times New Roman"/>
          <w:b w:val="false"/>
          <w:i w:val="false"/>
          <w:color w:val="000000"/>
          <w:sz w:val="28"/>
        </w:rPr>
        <w:t>
      Потенциальный частный партнер, инициировавший проект ГЧП в течение 15 (пятнадцати) рабочих дней с момента получения уведомления представляет уполномоченному лицу проект договора ГЧП.</w:t>
      </w:r>
    </w:p>
    <w:bookmarkEnd w:id="237"/>
    <w:bookmarkStart w:name="z266" w:id="238"/>
    <w:p>
      <w:pPr>
        <w:spacing w:after="0"/>
        <w:ind w:left="0"/>
        <w:jc w:val="both"/>
      </w:pPr>
      <w:r>
        <w:rPr>
          <w:rFonts w:ascii="Times New Roman"/>
          <w:b w:val="false"/>
          <w:i w:val="false"/>
          <w:color w:val="000000"/>
          <w:sz w:val="28"/>
        </w:rPr>
        <w:t>
      Решение о продлении срока представления проекта договора ГЧП принимается Комиссией по проведению прямых переговоров по определению частного партнера;</w:t>
      </w:r>
    </w:p>
    <w:bookmarkEnd w:id="238"/>
    <w:bookmarkStart w:name="z267" w:id="239"/>
    <w:p>
      <w:pPr>
        <w:spacing w:after="0"/>
        <w:ind w:left="0"/>
        <w:jc w:val="both"/>
      </w:pPr>
      <w:r>
        <w:rPr>
          <w:rFonts w:ascii="Times New Roman"/>
          <w:b w:val="false"/>
          <w:i w:val="false"/>
          <w:color w:val="000000"/>
          <w:sz w:val="28"/>
        </w:rPr>
        <w:t>
      4) проведение переговоров между потенциальными сторонами договора ГЧП об условиях договора ГЧП.</w:t>
      </w:r>
    </w:p>
    <w:bookmarkEnd w:id="239"/>
    <w:bookmarkStart w:name="z268" w:id="240"/>
    <w:p>
      <w:pPr>
        <w:spacing w:after="0"/>
        <w:ind w:left="0"/>
        <w:jc w:val="both"/>
      </w:pPr>
      <w:r>
        <w:rPr>
          <w:rFonts w:ascii="Times New Roman"/>
          <w:b w:val="false"/>
          <w:i w:val="false"/>
          <w:color w:val="000000"/>
          <w:sz w:val="28"/>
        </w:rPr>
        <w:t>
      Результаты переговоров оформляются протоколом, подписываемым уполномоченными представителями сторон и утверждаемым комиссией по проведению прямых переговоров по определению частного партнера. В случае согласования условий договора ГЧП потенциальными сторонами к протоколу прилагается проект договора ГЧП.</w:t>
      </w:r>
    </w:p>
    <w:bookmarkEnd w:id="240"/>
    <w:bookmarkStart w:name="z269" w:id="241"/>
    <w:p>
      <w:pPr>
        <w:spacing w:after="0"/>
        <w:ind w:left="0"/>
        <w:jc w:val="both"/>
      </w:pPr>
      <w:r>
        <w:rPr>
          <w:rFonts w:ascii="Times New Roman"/>
          <w:b w:val="false"/>
          <w:i w:val="false"/>
          <w:color w:val="000000"/>
          <w:sz w:val="28"/>
        </w:rPr>
        <w:t>
      Организатор прямых переговоров направляет на согласование проект договора ГЧП, с приложением копий протокола переговоров, а также по проектам, предусматривающим предоставление поручительства государства и государственной гарантии, копию решения бюджетной комиссии, в следующие центральные либо местные уполномоченные органы:</w:t>
      </w:r>
    </w:p>
    <w:bookmarkEnd w:id="241"/>
    <w:bookmarkStart w:name="z270" w:id="242"/>
    <w:p>
      <w:pPr>
        <w:spacing w:after="0"/>
        <w:ind w:left="0"/>
        <w:jc w:val="both"/>
      </w:pPr>
      <w:r>
        <w:rPr>
          <w:rFonts w:ascii="Times New Roman"/>
          <w:b w:val="false"/>
          <w:i w:val="false"/>
          <w:color w:val="000000"/>
          <w:sz w:val="28"/>
        </w:rPr>
        <w:t>
      уполномоченный орган по государственному планированию согласовывает проект договора ГЧП в течение 10 (десяти) рабочих дней со дня получения результатов экспертизы Центра развития ГЧП либо юридического лица, определяемого местным исполнительным органом области, города республиканского значения и столицы, уполномоченные на проведение экспертизы, в случае, если проект местный.</w:t>
      </w:r>
    </w:p>
    <w:bookmarkEnd w:id="242"/>
    <w:bookmarkStart w:name="z271" w:id="243"/>
    <w:p>
      <w:pPr>
        <w:spacing w:after="0"/>
        <w:ind w:left="0"/>
        <w:jc w:val="both"/>
      </w:pPr>
      <w:r>
        <w:rPr>
          <w:rFonts w:ascii="Times New Roman"/>
          <w:b w:val="false"/>
          <w:i w:val="false"/>
          <w:color w:val="000000"/>
          <w:sz w:val="28"/>
        </w:rPr>
        <w:t>
      Экспертиза проекта договора ГЧП осуществляется в течение 20 (двадцати) рабочих дней по проектам, являющимся технически сложными и (или) уникальными, по остальным проектам – в течение 10 (десяти) рабочих дней;</w:t>
      </w:r>
    </w:p>
    <w:bookmarkEnd w:id="243"/>
    <w:bookmarkStart w:name="z272" w:id="244"/>
    <w:p>
      <w:pPr>
        <w:spacing w:after="0"/>
        <w:ind w:left="0"/>
        <w:jc w:val="both"/>
      </w:pPr>
      <w:r>
        <w:rPr>
          <w:rFonts w:ascii="Times New Roman"/>
          <w:b w:val="false"/>
          <w:i w:val="false"/>
          <w:color w:val="000000"/>
          <w:sz w:val="28"/>
        </w:rPr>
        <w:t>
      уполномоченный орган по исполнению бюджета согласовывает проект договора ГЧП в течение 10 (десяти) рабочих дней со дня поступления;</w:t>
      </w:r>
    </w:p>
    <w:bookmarkEnd w:id="244"/>
    <w:bookmarkStart w:name="z273" w:id="245"/>
    <w:p>
      <w:pPr>
        <w:spacing w:after="0"/>
        <w:ind w:left="0"/>
        <w:jc w:val="both"/>
      </w:pPr>
      <w:r>
        <w:rPr>
          <w:rFonts w:ascii="Times New Roman"/>
          <w:b w:val="false"/>
          <w:i w:val="false"/>
          <w:color w:val="000000"/>
          <w:sz w:val="28"/>
        </w:rPr>
        <w:t>
      уполномоченный государственный орган, осуществляющий руководство в сферах естественных монополий и на регулируемых рынках согласовывает проект договора ГЧП в части порядка формирования и утверждения тарифов (цен, ставок сборов) на услуги (товары, работы), в течение 10 (десяти) рабочих дней со дня его представления.</w:t>
      </w:r>
    </w:p>
    <w:bookmarkEnd w:id="245"/>
    <w:bookmarkStart w:name="z274" w:id="246"/>
    <w:p>
      <w:pPr>
        <w:spacing w:after="0"/>
        <w:ind w:left="0"/>
        <w:jc w:val="both"/>
      </w:pPr>
      <w:r>
        <w:rPr>
          <w:rFonts w:ascii="Times New Roman"/>
          <w:b w:val="false"/>
          <w:i w:val="false"/>
          <w:color w:val="000000"/>
          <w:sz w:val="28"/>
        </w:rPr>
        <w:t>
      Организатор прямых переговоров направляет в центральный уполномоченный орган по бюджетному планированию и исполнению бюджета (по республиканским проектам) или местный уполномоченный орган по государственному планированию (по местным проектам) заявку с приложением результатов экспертиз и согласований проекта договора ГЧП для вынесения на рассмотрение соответствующей бюджетной комиссии вопроса принятия государственных обязательств по проекту ГЧП;</w:t>
      </w:r>
    </w:p>
    <w:bookmarkEnd w:id="246"/>
    <w:bookmarkStart w:name="z275" w:id="247"/>
    <w:p>
      <w:pPr>
        <w:spacing w:after="0"/>
        <w:ind w:left="0"/>
        <w:jc w:val="both"/>
      </w:pPr>
      <w:r>
        <w:rPr>
          <w:rFonts w:ascii="Times New Roman"/>
          <w:b w:val="false"/>
          <w:i w:val="false"/>
          <w:color w:val="000000"/>
          <w:sz w:val="28"/>
        </w:rPr>
        <w:t>
      5) заключение договора ГЧП.";</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139</w:t>
      </w:r>
      <w:r>
        <w:rPr>
          <w:rFonts w:ascii="Times New Roman"/>
          <w:b w:val="false"/>
          <w:i w:val="false"/>
          <w:color w:val="000000"/>
          <w:sz w:val="28"/>
        </w:rPr>
        <w:t xml:space="preserve"> изложить в следующей редакции:</w:t>
      </w:r>
    </w:p>
    <w:bookmarkStart w:name="z277" w:id="248"/>
    <w:p>
      <w:pPr>
        <w:spacing w:after="0"/>
        <w:ind w:left="0"/>
        <w:jc w:val="both"/>
      </w:pPr>
      <w:r>
        <w:rPr>
          <w:rFonts w:ascii="Times New Roman"/>
          <w:b w:val="false"/>
          <w:i w:val="false"/>
          <w:color w:val="000000"/>
          <w:sz w:val="28"/>
        </w:rPr>
        <w:t>
      "139. Местные уполномоченные органы по государственному планированию уведомляют центральный уполномоченный орган по государственному планированию о заключенных договорах ГЧП по местным проектам ГЧП не позднее 5 (пяти) рабочих дней с момента их заключения.";</w:t>
      </w:r>
    </w:p>
    <w:bookmarkEnd w:id="248"/>
    <w:bookmarkStart w:name="z278" w:id="249"/>
    <w:p>
      <w:pPr>
        <w:spacing w:after="0"/>
        <w:ind w:left="0"/>
        <w:jc w:val="both"/>
      </w:pPr>
      <w:r>
        <w:rPr>
          <w:rFonts w:ascii="Times New Roman"/>
          <w:b w:val="false"/>
          <w:i w:val="false"/>
          <w:color w:val="000000"/>
          <w:sz w:val="28"/>
        </w:rPr>
        <w:t xml:space="preserve">
      дополнить приложением 1-1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49"/>
    <w:bookmarkStart w:name="z279" w:id="25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Структуре</w:t>
      </w:r>
      <w:r>
        <w:rPr>
          <w:rFonts w:ascii="Times New Roman"/>
          <w:b w:val="false"/>
          <w:i w:val="false"/>
          <w:color w:val="000000"/>
          <w:sz w:val="28"/>
        </w:rPr>
        <w:t xml:space="preserve"> концепции проекта государственно-частного партнерства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50"/>
    <w:bookmarkStart w:name="z280" w:id="251"/>
    <w:p>
      <w:pPr>
        <w:spacing w:after="0"/>
        <w:ind w:left="0"/>
        <w:jc w:val="both"/>
      </w:pPr>
      <w:r>
        <w:rPr>
          <w:rFonts w:ascii="Times New Roman"/>
          <w:b w:val="false"/>
          <w:i w:val="false"/>
          <w:color w:val="000000"/>
          <w:sz w:val="28"/>
        </w:rPr>
        <w:t>
      раздел 3.5. "Технико-технологический раздел" дополнить подпунктом 9) следующего содержания:</w:t>
      </w:r>
    </w:p>
    <w:bookmarkEnd w:id="251"/>
    <w:bookmarkStart w:name="z281" w:id="252"/>
    <w:p>
      <w:pPr>
        <w:spacing w:after="0"/>
        <w:ind w:left="0"/>
        <w:jc w:val="both"/>
      </w:pPr>
      <w:r>
        <w:rPr>
          <w:rFonts w:ascii="Times New Roman"/>
          <w:b w:val="false"/>
          <w:i w:val="false"/>
          <w:color w:val="000000"/>
          <w:sz w:val="28"/>
        </w:rPr>
        <w:t>
      "9) описание производственного цикла производства товаров, работ и услуг, развития тепловых и электрических сетей, газораспределительных систем, а также сетей водоснабжения и канализации, в случае принадлежности проекта к сферам естественных монополий.";</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Перечень</w:t>
      </w:r>
      <w:r>
        <w:rPr>
          <w:rFonts w:ascii="Times New Roman"/>
          <w:b w:val="false"/>
          <w:i w:val="false"/>
          <w:color w:val="000000"/>
          <w:sz w:val="28"/>
        </w:rPr>
        <w:t xml:space="preserve"> документов, представляемых потенциальными частными партнерами в подтверждение их соответствия квалификационным требованиям согласно приложению 3 к настоящим Правилам,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283" w:id="253"/>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24 ноября 2015 № 724 "Об утверждении типовой конкурсной документации проекта государственно-частного партнерства и типового договора государственно-частного партнерства по способам осуществления государственно-частного партнерства в отдельных отраслях (сферах) экономики" (зарегистрированный в Реестре государственной регистрации нормативных правовых актов за № 12495, опубликованный в информационно-правовой системе "Әділет" 6 января 2016 года) следующие изменения:</w:t>
      </w:r>
    </w:p>
    <w:bookmarkEnd w:id="253"/>
    <w:bookmarkStart w:name="z284" w:id="2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государственно-частного партнерства по способам осуществления государственно-частного партнерства в отдельных отраслях (сферах) экономики, утвержденном указанным приказом (далее – Типовой договор):</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Start w:name="z286" w:id="255"/>
    <w:p>
      <w:pPr>
        <w:spacing w:after="0"/>
        <w:ind w:left="0"/>
        <w:jc w:val="both"/>
      </w:pPr>
      <w:r>
        <w:rPr>
          <w:rFonts w:ascii="Times New Roman"/>
          <w:b w:val="false"/>
          <w:i w:val="false"/>
          <w:color w:val="000000"/>
          <w:sz w:val="28"/>
        </w:rPr>
        <w:t xml:space="preserve">
      "74. Государственный партнер уплачивает Частному партнеру компенсацию инвестиционных затрат, компенсацию операционных затрат и вознаграждение за осуществление управления объектом ГЧП, находящимся в государственной собственности, а также арендную плату за пользование объектом ГЧП, плату за доступность объекта ГЧП (указать необходимое) на расчетный счет Частного партнера, открытый в соответствии с </w:t>
      </w:r>
      <w:r>
        <w:rPr>
          <w:rFonts w:ascii="Times New Roman"/>
          <w:b w:val="false"/>
          <w:i w:val="false"/>
          <w:color w:val="000000"/>
          <w:sz w:val="28"/>
        </w:rPr>
        <w:t>пунктом 22</w:t>
      </w:r>
      <w:r>
        <w:rPr>
          <w:rFonts w:ascii="Times New Roman"/>
          <w:b w:val="false"/>
          <w:i w:val="false"/>
          <w:color w:val="000000"/>
          <w:sz w:val="28"/>
        </w:rPr>
        <w:t xml:space="preserve"> настоящего Типового договора в следующем порядке и сроки:____________________ (указать необходимые данные, в том числе, порядок исчисления и изменения размера выплат).</w:t>
      </w:r>
    </w:p>
    <w:bookmarkEnd w:id="255"/>
    <w:bookmarkStart w:name="z287" w:id="256"/>
    <w:p>
      <w:pPr>
        <w:spacing w:after="0"/>
        <w:ind w:left="0"/>
        <w:jc w:val="both"/>
      </w:pPr>
      <w:r>
        <w:rPr>
          <w:rFonts w:ascii="Times New Roman"/>
          <w:b w:val="false"/>
          <w:i w:val="false"/>
          <w:color w:val="000000"/>
          <w:sz w:val="28"/>
        </w:rPr>
        <w:t>
      Условия по списанию денежных средств с расчетного счета Частного партнера могут быть установлены отдельным договором между банком и Частным партнером без согласования с Государственным партнером (включается, если это предусмотрено проектом ГЧП).";</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289" w:id="257"/>
    <w:p>
      <w:pPr>
        <w:spacing w:after="0"/>
        <w:ind w:left="0"/>
        <w:jc w:val="both"/>
      </w:pPr>
      <w:r>
        <w:rPr>
          <w:rFonts w:ascii="Times New Roman"/>
          <w:b w:val="false"/>
          <w:i w:val="false"/>
          <w:color w:val="000000"/>
          <w:sz w:val="28"/>
        </w:rPr>
        <w:t>
      "86. Созданный и введенный в эксплуатацию объект ГЧП подлежит передаче в ___________________________ (указать, кому объект передается в собственность).</w:t>
      </w:r>
    </w:p>
    <w:bookmarkEnd w:id="257"/>
    <w:bookmarkStart w:name="z290" w:id="258"/>
    <w:p>
      <w:pPr>
        <w:spacing w:after="0"/>
        <w:ind w:left="0"/>
        <w:jc w:val="both"/>
      </w:pPr>
      <w:r>
        <w:rPr>
          <w:rFonts w:ascii="Times New Roman"/>
          <w:b w:val="false"/>
          <w:i w:val="false"/>
          <w:color w:val="000000"/>
          <w:sz w:val="28"/>
        </w:rPr>
        <w:t>
      Прием объектов ГЧП в государственную собственность и последующая передача государственного объекта ГЧП в эксплуатацию Частному партнеру (включается, если это предусмотрено проектом ГЧП) осуществляется уполномоченным государственным органом по осуществлению права распоряжения республиканской собственностью, либо местными исполнительными органами (в зависимости от уровня собственности: республиканская или коммунальная). Частный партнер принимает на себя обязанность обеспечить содержание и сохранность объекта ГЧП в период оформления государственной собственности на объект ГЧП и в период передачи объекта ГЧП в эксплуатацию. Включается, если это предусмотрено проектом ГЧП.";</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131</w:t>
      </w:r>
      <w:r>
        <w:rPr>
          <w:rFonts w:ascii="Times New Roman"/>
          <w:b w:val="false"/>
          <w:i w:val="false"/>
          <w:color w:val="000000"/>
          <w:sz w:val="28"/>
        </w:rPr>
        <w:t xml:space="preserve"> изложить в следующей редакции:</w:t>
      </w:r>
    </w:p>
    <w:bookmarkStart w:name="z292" w:id="259"/>
    <w:p>
      <w:pPr>
        <w:spacing w:after="0"/>
        <w:ind w:left="0"/>
        <w:jc w:val="both"/>
      </w:pPr>
      <w:r>
        <w:rPr>
          <w:rFonts w:ascii="Times New Roman"/>
          <w:b w:val="false"/>
          <w:i w:val="false"/>
          <w:color w:val="000000"/>
          <w:sz w:val="28"/>
        </w:rPr>
        <w:t>
      "131. Размеры, порядок и сроки выплат штрафов, пеней указаны в следующем порядке и размерах:_________________ (подробно указать размеры, порядок и сроки выплат штрафов, пеней либо при необходимости указать в отдельном приложении).";</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134</w:t>
      </w:r>
      <w:r>
        <w:rPr>
          <w:rFonts w:ascii="Times New Roman"/>
          <w:b w:val="false"/>
          <w:i w:val="false"/>
          <w:color w:val="000000"/>
          <w:sz w:val="28"/>
        </w:rPr>
        <w:t xml:space="preserve"> изложить в следующей редакции:</w:t>
      </w:r>
    </w:p>
    <w:bookmarkStart w:name="z294" w:id="260"/>
    <w:p>
      <w:pPr>
        <w:spacing w:after="0"/>
        <w:ind w:left="0"/>
        <w:jc w:val="both"/>
      </w:pPr>
      <w:r>
        <w:rPr>
          <w:rFonts w:ascii="Times New Roman"/>
          <w:b w:val="false"/>
          <w:i w:val="false"/>
          <w:color w:val="000000"/>
          <w:sz w:val="28"/>
        </w:rPr>
        <w:t>
      "134. Частный партнер, возмещает Государственному партнеру упущенную выгоду за время доверительного управления объектом ГЧП и убытки, причиненные утратой или повреждением имущества, с учетом его естественного износа. Данный пункт включается, если это предусмотрено проектом ГЧП.";</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Раздел 36</w:t>
      </w:r>
      <w:r>
        <w:rPr>
          <w:rFonts w:ascii="Times New Roman"/>
          <w:b w:val="false"/>
          <w:i w:val="false"/>
          <w:color w:val="000000"/>
          <w:sz w:val="28"/>
        </w:rPr>
        <w:t xml:space="preserve"> изложить в следующей редакции:</w:t>
      </w:r>
    </w:p>
    <w:bookmarkStart w:name="z296" w:id="261"/>
    <w:p>
      <w:pPr>
        <w:spacing w:after="0"/>
        <w:ind w:left="0"/>
        <w:jc w:val="both"/>
      </w:pPr>
      <w:r>
        <w:rPr>
          <w:rFonts w:ascii="Times New Roman"/>
          <w:b w:val="false"/>
          <w:i w:val="false"/>
          <w:color w:val="000000"/>
          <w:sz w:val="28"/>
        </w:rPr>
        <w:t>
      "36. Адреса и реквизиты Сторон:</w:t>
      </w:r>
    </w:p>
    <w:bookmarkEnd w:id="261"/>
    <w:bookmarkStart w:name="z297" w:id="262"/>
    <w:p>
      <w:pPr>
        <w:spacing w:after="0"/>
        <w:ind w:left="0"/>
        <w:jc w:val="both"/>
      </w:pPr>
      <w:r>
        <w:rPr>
          <w:rFonts w:ascii="Times New Roman"/>
          <w:b w:val="false"/>
          <w:i w:val="false"/>
          <w:color w:val="000000"/>
          <w:sz w:val="28"/>
        </w:rPr>
        <w:t xml:space="preserve">
      Государственный партнер Частный партнер </w:t>
      </w:r>
    </w:p>
    <w:bookmarkEnd w:id="262"/>
    <w:bookmarkStart w:name="z298" w:id="263"/>
    <w:p>
      <w:pPr>
        <w:spacing w:after="0"/>
        <w:ind w:left="0"/>
        <w:jc w:val="both"/>
      </w:pPr>
      <w:r>
        <w:rPr>
          <w:rFonts w:ascii="Times New Roman"/>
          <w:b w:val="false"/>
          <w:i w:val="false"/>
          <w:color w:val="000000"/>
          <w:sz w:val="28"/>
        </w:rPr>
        <w:t xml:space="preserve">
      _____________________ _____________________ </w:t>
      </w:r>
    </w:p>
    <w:bookmarkEnd w:id="263"/>
    <w:bookmarkStart w:name="z299" w:id="264"/>
    <w:p>
      <w:pPr>
        <w:spacing w:after="0"/>
        <w:ind w:left="0"/>
        <w:jc w:val="both"/>
      </w:pPr>
      <w:r>
        <w:rPr>
          <w:rFonts w:ascii="Times New Roman"/>
          <w:b w:val="false"/>
          <w:i w:val="false"/>
          <w:color w:val="000000"/>
          <w:sz w:val="28"/>
        </w:rPr>
        <w:t xml:space="preserve">
      (полное наименование) (полное наименование) </w:t>
      </w:r>
    </w:p>
    <w:bookmarkEnd w:id="264"/>
    <w:bookmarkStart w:name="z300" w:id="265"/>
    <w:p>
      <w:pPr>
        <w:spacing w:after="0"/>
        <w:ind w:left="0"/>
        <w:jc w:val="both"/>
      </w:pPr>
      <w:r>
        <w:rPr>
          <w:rFonts w:ascii="Times New Roman"/>
          <w:b w:val="false"/>
          <w:i w:val="false"/>
          <w:color w:val="000000"/>
          <w:sz w:val="28"/>
        </w:rPr>
        <w:t xml:space="preserve">
      _____________________ _____________________ </w:t>
      </w:r>
    </w:p>
    <w:bookmarkEnd w:id="265"/>
    <w:bookmarkStart w:name="z301" w:id="266"/>
    <w:p>
      <w:pPr>
        <w:spacing w:after="0"/>
        <w:ind w:left="0"/>
        <w:jc w:val="both"/>
      </w:pPr>
      <w:r>
        <w:rPr>
          <w:rFonts w:ascii="Times New Roman"/>
          <w:b w:val="false"/>
          <w:i w:val="false"/>
          <w:color w:val="000000"/>
          <w:sz w:val="28"/>
        </w:rPr>
        <w:t xml:space="preserve">
      (банковские реквизиты) (банковские реквизиты) </w:t>
      </w:r>
    </w:p>
    <w:bookmarkEnd w:id="266"/>
    <w:bookmarkStart w:name="z302" w:id="267"/>
    <w:p>
      <w:pPr>
        <w:spacing w:after="0"/>
        <w:ind w:left="0"/>
        <w:jc w:val="both"/>
      </w:pPr>
      <w:r>
        <w:rPr>
          <w:rFonts w:ascii="Times New Roman"/>
          <w:b w:val="false"/>
          <w:i w:val="false"/>
          <w:color w:val="000000"/>
          <w:sz w:val="28"/>
        </w:rPr>
        <w:t xml:space="preserve">
      _____________________ _____________________ </w:t>
      </w:r>
    </w:p>
    <w:bookmarkEnd w:id="267"/>
    <w:bookmarkStart w:name="z303" w:id="268"/>
    <w:p>
      <w:pPr>
        <w:spacing w:after="0"/>
        <w:ind w:left="0"/>
        <w:jc w:val="both"/>
      </w:pPr>
      <w:r>
        <w:rPr>
          <w:rFonts w:ascii="Times New Roman"/>
          <w:b w:val="false"/>
          <w:i w:val="false"/>
          <w:color w:val="000000"/>
          <w:sz w:val="28"/>
        </w:rPr>
        <w:t xml:space="preserve">
       (адрес)             (адрес) </w:t>
      </w:r>
    </w:p>
    <w:bookmarkEnd w:id="268"/>
    <w:bookmarkStart w:name="z304" w:id="269"/>
    <w:p>
      <w:pPr>
        <w:spacing w:after="0"/>
        <w:ind w:left="0"/>
        <w:jc w:val="both"/>
      </w:pPr>
      <w:r>
        <w:rPr>
          <w:rFonts w:ascii="Times New Roman"/>
          <w:b w:val="false"/>
          <w:i w:val="false"/>
          <w:color w:val="000000"/>
          <w:sz w:val="28"/>
        </w:rPr>
        <w:t xml:space="preserve">
      _____________________ _____________________ </w:t>
      </w:r>
    </w:p>
    <w:bookmarkEnd w:id="269"/>
    <w:bookmarkStart w:name="z305" w:id="270"/>
    <w:p>
      <w:pPr>
        <w:spacing w:after="0"/>
        <w:ind w:left="0"/>
        <w:jc w:val="both"/>
      </w:pPr>
      <w:r>
        <w:rPr>
          <w:rFonts w:ascii="Times New Roman"/>
          <w:b w:val="false"/>
          <w:i w:val="false"/>
          <w:color w:val="000000"/>
          <w:sz w:val="28"/>
        </w:rPr>
        <w:t xml:space="preserve">
      (телефон, факс)       (телефон, факс) </w:t>
      </w:r>
    </w:p>
    <w:bookmarkEnd w:id="270"/>
    <w:bookmarkStart w:name="z306" w:id="271"/>
    <w:p>
      <w:pPr>
        <w:spacing w:after="0"/>
        <w:ind w:left="0"/>
        <w:jc w:val="both"/>
      </w:pPr>
      <w:r>
        <w:rPr>
          <w:rFonts w:ascii="Times New Roman"/>
          <w:b w:val="false"/>
          <w:i w:val="false"/>
          <w:color w:val="000000"/>
          <w:sz w:val="28"/>
        </w:rPr>
        <w:t xml:space="preserve">
      _____________________ _____________________ </w:t>
      </w:r>
    </w:p>
    <w:bookmarkEnd w:id="271"/>
    <w:bookmarkStart w:name="z307" w:id="272"/>
    <w:p>
      <w:pPr>
        <w:spacing w:after="0"/>
        <w:ind w:left="0"/>
        <w:jc w:val="both"/>
      </w:pPr>
      <w:r>
        <w:rPr>
          <w:rFonts w:ascii="Times New Roman"/>
          <w:b w:val="false"/>
          <w:i w:val="false"/>
          <w:color w:val="000000"/>
          <w:sz w:val="28"/>
        </w:rPr>
        <w:t>
      Фамилия, имя, отчество Фамилия, имя, отчество</w:t>
      </w:r>
    </w:p>
    <w:bookmarkEnd w:id="272"/>
    <w:bookmarkStart w:name="z308" w:id="273"/>
    <w:p>
      <w:pPr>
        <w:spacing w:after="0"/>
        <w:ind w:left="0"/>
        <w:jc w:val="both"/>
      </w:pPr>
      <w:r>
        <w:rPr>
          <w:rFonts w:ascii="Times New Roman"/>
          <w:b w:val="false"/>
          <w:i w:val="false"/>
          <w:color w:val="000000"/>
          <w:sz w:val="28"/>
        </w:rPr>
        <w:t xml:space="preserve">
      (при его наличии) (при его наличии) </w:t>
      </w:r>
    </w:p>
    <w:bookmarkEnd w:id="273"/>
    <w:bookmarkStart w:name="z309" w:id="274"/>
    <w:p>
      <w:pPr>
        <w:spacing w:after="0"/>
        <w:ind w:left="0"/>
        <w:jc w:val="both"/>
      </w:pPr>
      <w:r>
        <w:rPr>
          <w:rFonts w:ascii="Times New Roman"/>
          <w:b w:val="false"/>
          <w:i w:val="false"/>
          <w:color w:val="000000"/>
          <w:sz w:val="28"/>
        </w:rPr>
        <w:t xml:space="preserve">
      _____________________ _____________________ </w:t>
      </w:r>
    </w:p>
    <w:bookmarkEnd w:id="274"/>
    <w:bookmarkStart w:name="z310" w:id="275"/>
    <w:p>
      <w:pPr>
        <w:spacing w:after="0"/>
        <w:ind w:left="0"/>
        <w:jc w:val="both"/>
      </w:pPr>
      <w:r>
        <w:rPr>
          <w:rFonts w:ascii="Times New Roman"/>
          <w:b w:val="false"/>
          <w:i w:val="false"/>
          <w:color w:val="000000"/>
          <w:sz w:val="28"/>
        </w:rPr>
        <w:t xml:space="preserve">
       (подпись)              (подпись) </w:t>
      </w:r>
    </w:p>
    <w:bookmarkEnd w:id="275"/>
    <w:bookmarkStart w:name="z311" w:id="276"/>
    <w:p>
      <w:pPr>
        <w:spacing w:after="0"/>
        <w:ind w:left="0"/>
        <w:jc w:val="both"/>
      </w:pPr>
      <w:r>
        <w:rPr>
          <w:rFonts w:ascii="Times New Roman"/>
          <w:b w:val="false"/>
          <w:i w:val="false"/>
          <w:color w:val="000000"/>
          <w:sz w:val="28"/>
        </w:rPr>
        <w:t xml:space="preserve">
      "___"_________ ____г. "___"_________ ____г. </w:t>
      </w:r>
    </w:p>
    <w:bookmarkEnd w:id="276"/>
    <w:bookmarkStart w:name="z312" w:id="277"/>
    <w:p>
      <w:pPr>
        <w:spacing w:after="0"/>
        <w:ind w:left="0"/>
        <w:jc w:val="both"/>
      </w:pPr>
      <w:r>
        <w:rPr>
          <w:rFonts w:ascii="Times New Roman"/>
          <w:b w:val="false"/>
          <w:i w:val="false"/>
          <w:color w:val="000000"/>
          <w:sz w:val="28"/>
        </w:rPr>
        <w:t>
       М.П.              М.П.</w:t>
      </w:r>
    </w:p>
    <w:bookmarkEnd w:id="277"/>
    <w:bookmarkStart w:name="z313" w:id="278"/>
    <w:p>
      <w:pPr>
        <w:spacing w:after="0"/>
        <w:ind w:left="0"/>
        <w:jc w:val="both"/>
      </w:pPr>
      <w:r>
        <w:rPr>
          <w:rFonts w:ascii="Times New Roman"/>
          <w:b w:val="false"/>
          <w:i w:val="false"/>
          <w:color w:val="000000"/>
          <w:sz w:val="28"/>
        </w:rPr>
        <w:t>
      Настоящий Типовой договор регулирует правоотношения, возникающие между Государственным партнером и Частным партнером. Государственный партнер, используя настоящий Типовой Договор, должен разработать на основании итогов конкурса по определению частного партнера либо прямых переговоров свой окончательный проект договора ГЧП. При этом любые вносимые в настоящий Типовой договор изменения и дополнения должны соответствовать законодательству Республики Казахстан о государственно-частном партнерстве, конкурсной документации Государственного партнера, в том числе институциональной схеме проекта ГЧП, конкурсной заявке Частного партнера и Протоколу об итогах конкурса. Выделенные в настоящем Типовом договоре курсивом разъяснения заполняются Государственным партнером.";</w:t>
      </w:r>
    </w:p>
    <w:bookmarkEnd w:id="278"/>
    <w:bookmarkStart w:name="z314" w:id="2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Условиях</w:t>
      </w:r>
      <w:r>
        <w:rPr>
          <w:rFonts w:ascii="Times New Roman"/>
          <w:b w:val="false"/>
          <w:i w:val="false"/>
          <w:color w:val="000000"/>
          <w:sz w:val="28"/>
        </w:rPr>
        <w:t xml:space="preserve"> эксплуатации объекта ГЧП в различных отраслях экономики согласно приложению 2 к настоящему Типовому договору:</w:t>
      </w:r>
    </w:p>
    <w:bookmarkEnd w:id="279"/>
    <w:bookmarkStart w:name="z315" w:id="2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"Общие условия совместной деятельности при эксплуатации объекта ГЧП":</w:t>
      </w:r>
    </w:p>
    <w:bookmarkEnd w:id="2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317" w:id="281"/>
    <w:p>
      <w:pPr>
        <w:spacing w:after="0"/>
        <w:ind w:left="0"/>
        <w:jc w:val="both"/>
      </w:pPr>
      <w:r>
        <w:rPr>
          <w:rFonts w:ascii="Times New Roman"/>
          <w:b w:val="false"/>
          <w:i w:val="false"/>
          <w:color w:val="000000"/>
          <w:sz w:val="28"/>
        </w:rPr>
        <w:t>
      "2. Совместная деятельность товарищей будет осуществляться в следующем порядке: __________________ (подробно указать этапы, сроки и прочие условия совместной деятельности либо при необходимости указать в отдельном приложении). Включается, если это предусмотрено проектом ГЧП.".</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2016 года № 480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приема объектов</w:t>
            </w:r>
            <w:r>
              <w:br/>
            </w:r>
            <w:r>
              <w:rPr>
                <w:rFonts w:ascii="Times New Roman"/>
                <w:b w:val="false"/>
                <w:i w:val="false"/>
                <w:color w:val="000000"/>
                <w:sz w:val="20"/>
              </w:rPr>
              <w:t>государственно-частного партнерства</w:t>
            </w:r>
            <w:r>
              <w:br/>
            </w:r>
            <w:r>
              <w:rPr>
                <w:rFonts w:ascii="Times New Roman"/>
                <w:b w:val="false"/>
                <w:i w:val="false"/>
                <w:color w:val="000000"/>
                <w:sz w:val="20"/>
              </w:rPr>
              <w:t>в государственную собственность</w:t>
            </w:r>
          </w:p>
        </w:tc>
      </w:tr>
    </w:tbl>
    <w:bookmarkStart w:name="z320" w:id="282"/>
    <w:p>
      <w:pPr>
        <w:spacing w:after="0"/>
        <w:ind w:left="0"/>
        <w:jc w:val="left"/>
      </w:pPr>
      <w:r>
        <w:rPr>
          <w:rFonts w:ascii="Times New Roman"/>
          <w:b/>
          <w:i w:val="false"/>
          <w:color w:val="000000"/>
        </w:rPr>
        <w:t xml:space="preserve"> Перечень документов, представляемых частным партнером при приеме объектов государственно-частного партнерства в государственную собственность</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9"/>
        <w:gridCol w:w="10221"/>
      </w:tblGrid>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3"/>
          <w:p>
            <w:pPr>
              <w:spacing w:after="20"/>
              <w:ind w:left="20"/>
              <w:jc w:val="both"/>
            </w:pPr>
            <w:r>
              <w:rPr>
                <w:rFonts w:ascii="Times New Roman"/>
                <w:b w:val="false"/>
                <w:i w:val="false"/>
                <w:color w:val="000000"/>
                <w:sz w:val="20"/>
              </w:rPr>
              <w:t>
№ п/п</w:t>
            </w:r>
          </w:p>
          <w:bookmarkEnd w:id="283"/>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4"/>
          <w:p>
            <w:pPr>
              <w:spacing w:after="20"/>
              <w:ind w:left="20"/>
              <w:jc w:val="both"/>
            </w:pPr>
            <w:r>
              <w:rPr>
                <w:rFonts w:ascii="Times New Roman"/>
                <w:b w:val="false"/>
                <w:i w:val="false"/>
                <w:color w:val="000000"/>
                <w:sz w:val="20"/>
              </w:rPr>
              <w:t>
1.</w:t>
            </w:r>
          </w:p>
          <w:bookmarkEnd w:id="284"/>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ГЧП</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85"/>
          <w:p>
            <w:pPr>
              <w:spacing w:after="20"/>
              <w:ind w:left="20"/>
              <w:jc w:val="both"/>
            </w:pPr>
            <w:r>
              <w:rPr>
                <w:rFonts w:ascii="Times New Roman"/>
                <w:b w:val="false"/>
                <w:i w:val="false"/>
                <w:color w:val="000000"/>
                <w:sz w:val="20"/>
              </w:rPr>
              <w:t>
2.</w:t>
            </w:r>
          </w:p>
          <w:bookmarkEnd w:id="285"/>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объекта в эксплуатацию</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86"/>
          <w:p>
            <w:pPr>
              <w:spacing w:after="20"/>
              <w:ind w:left="20"/>
              <w:jc w:val="both"/>
            </w:pPr>
            <w:r>
              <w:rPr>
                <w:rFonts w:ascii="Times New Roman"/>
                <w:b w:val="false"/>
                <w:i w:val="false"/>
                <w:color w:val="000000"/>
                <w:sz w:val="20"/>
              </w:rPr>
              <w:t>
3.</w:t>
            </w:r>
          </w:p>
          <w:bookmarkEnd w:id="286"/>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учредительных документов частного партнера, документов, подтверждающих государственную регистрацию частного партнера в органах юстиции, налоговых и статистических органах</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87"/>
          <w:p>
            <w:pPr>
              <w:spacing w:after="20"/>
              <w:ind w:left="20"/>
              <w:jc w:val="both"/>
            </w:pPr>
            <w:r>
              <w:rPr>
                <w:rFonts w:ascii="Times New Roman"/>
                <w:b w:val="false"/>
                <w:i w:val="false"/>
                <w:color w:val="000000"/>
                <w:sz w:val="20"/>
              </w:rPr>
              <w:t>
4.</w:t>
            </w:r>
          </w:p>
          <w:bookmarkEnd w:id="287"/>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балансовую стоимость объекта ГЧП, подлежащего приему в государственную собственность, подписанный первым руководителем и главным бухгалтером частного партнера</w:t>
            </w:r>
          </w:p>
        </w:tc>
      </w:tr>
      <w:tr>
        <w:trPr>
          <w:trHeight w:val="30" w:hRule="atLeast"/>
        </w:trPr>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88"/>
          <w:p>
            <w:pPr>
              <w:spacing w:after="20"/>
              <w:ind w:left="20"/>
              <w:jc w:val="both"/>
            </w:pPr>
            <w:r>
              <w:rPr>
                <w:rFonts w:ascii="Times New Roman"/>
                <w:b w:val="false"/>
                <w:i w:val="false"/>
                <w:color w:val="000000"/>
                <w:sz w:val="20"/>
              </w:rPr>
              <w:t>
5.</w:t>
            </w:r>
          </w:p>
          <w:bookmarkEnd w:id="288"/>
        </w:tc>
        <w:tc>
          <w:tcPr>
            <w:tcW w:w="10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техническом состоянии объекта ГЧП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2016 года № 480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r>
              <w:br/>
            </w:r>
            <w:r>
              <w:rPr>
                <w:rFonts w:ascii="Times New Roman"/>
                <w:b w:val="false"/>
                <w:i w:val="false"/>
                <w:color w:val="000000"/>
                <w:sz w:val="20"/>
              </w:rPr>
              <w:t>партнерства</w:t>
            </w:r>
          </w:p>
        </w:tc>
      </w:tr>
    </w:tbl>
    <w:bookmarkStart w:name="z329" w:id="289"/>
    <w:p>
      <w:pPr>
        <w:spacing w:after="0"/>
        <w:ind w:left="0"/>
        <w:jc w:val="left"/>
      </w:pPr>
      <w:r>
        <w:rPr>
          <w:rFonts w:ascii="Times New Roman"/>
          <w:b/>
          <w:i w:val="false"/>
          <w:color w:val="000000"/>
        </w:rPr>
        <w:t xml:space="preserve"> Расчет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w:t>
      </w:r>
    </w:p>
    <w:bookmarkEnd w:id="289"/>
    <w:bookmarkStart w:name="z330" w:id="290"/>
    <w:p>
      <w:pPr>
        <w:spacing w:after="0"/>
        <w:ind w:left="0"/>
        <w:jc w:val="left"/>
      </w:pPr>
      <w:r>
        <w:rPr>
          <w:rFonts w:ascii="Times New Roman"/>
          <w:b/>
          <w:i w:val="false"/>
          <w:color w:val="000000"/>
        </w:rPr>
        <w:t xml:space="preserve"> Глава 1. Общие положения</w:t>
      </w:r>
    </w:p>
    <w:bookmarkEnd w:id="290"/>
    <w:bookmarkStart w:name="z331" w:id="291"/>
    <w:p>
      <w:pPr>
        <w:spacing w:after="0"/>
        <w:ind w:left="0"/>
        <w:jc w:val="both"/>
      </w:pPr>
      <w:r>
        <w:rPr>
          <w:rFonts w:ascii="Times New Roman"/>
          <w:b w:val="false"/>
          <w:i w:val="false"/>
          <w:color w:val="000000"/>
          <w:sz w:val="28"/>
        </w:rPr>
        <w:t>
      1. Расчет стоимости создания и (или) реконструкции объекта государственно-частного партнерства, суммарной стоимости государственной поддержки и источников возмещения затрат субъектов государственно-частного партнерства является методической инструкцией (далее - Инструкция), которая:</w:t>
      </w:r>
    </w:p>
    <w:bookmarkEnd w:id="291"/>
    <w:bookmarkStart w:name="z332" w:id="292"/>
    <w:p>
      <w:pPr>
        <w:spacing w:after="0"/>
        <w:ind w:left="0"/>
        <w:jc w:val="both"/>
      </w:pPr>
      <w:r>
        <w:rPr>
          <w:rFonts w:ascii="Times New Roman"/>
          <w:b w:val="false"/>
          <w:i w:val="false"/>
          <w:color w:val="000000"/>
          <w:sz w:val="28"/>
        </w:rPr>
        <w:t>
      1) обеспечивает соблюдение единых требований к расчету стоимости создания и (или) реконструкции объекта государственно-частного партнерства (далее – ГЧП) и суммарной стоимости государственной поддержки и источников возмещения затрат субъектов ГЧП;</w:t>
      </w:r>
    </w:p>
    <w:bookmarkEnd w:id="292"/>
    <w:bookmarkStart w:name="z333" w:id="293"/>
    <w:p>
      <w:pPr>
        <w:spacing w:after="0"/>
        <w:ind w:left="0"/>
        <w:jc w:val="both"/>
      </w:pPr>
      <w:r>
        <w:rPr>
          <w:rFonts w:ascii="Times New Roman"/>
          <w:b w:val="false"/>
          <w:i w:val="false"/>
          <w:color w:val="000000"/>
          <w:sz w:val="28"/>
        </w:rPr>
        <w:t>
      2) распространяется на все проекты ГЧП, по которым осуществляется расчет стоимости создания и (или) реконструкции объекта ГЧП, и суммарной стоимости государственной поддержки и источников возмещения затрат субъектов ГЧП.</w:t>
      </w:r>
    </w:p>
    <w:bookmarkEnd w:id="293"/>
    <w:bookmarkStart w:name="z334" w:id="29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Инструкция</w:t>
      </w:r>
      <w:r>
        <w:rPr>
          <w:rFonts w:ascii="Times New Roman"/>
          <w:b w:val="false"/>
          <w:i w:val="false"/>
          <w:color w:val="000000"/>
          <w:sz w:val="28"/>
        </w:rPr>
        <w:t xml:space="preserve"> разработана для руководства физическими, юридическими и должностными лицами, участвующими в определении стоимости создания и (или) реконструкции объекта ГЧП и суммарной стоимости государственной поддержки и источников возмещения затрат субъектов ГЧП.</w:t>
      </w:r>
    </w:p>
    <w:bookmarkEnd w:id="294"/>
    <w:bookmarkStart w:name="z335" w:id="29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Инструкции</w:t>
      </w:r>
      <w:r>
        <w:rPr>
          <w:rFonts w:ascii="Times New Roman"/>
          <w:b w:val="false"/>
          <w:i w:val="false"/>
          <w:color w:val="000000"/>
          <w:sz w:val="28"/>
        </w:rPr>
        <w:t xml:space="preserve"> используются следующие понятия:</w:t>
      </w:r>
    </w:p>
    <w:bookmarkEnd w:id="295"/>
    <w:bookmarkStart w:name="z336" w:id="296"/>
    <w:p>
      <w:pPr>
        <w:spacing w:after="0"/>
        <w:ind w:left="0"/>
        <w:jc w:val="both"/>
      </w:pPr>
      <w:r>
        <w:rPr>
          <w:rFonts w:ascii="Times New Roman"/>
          <w:b w:val="false"/>
          <w:i w:val="false"/>
          <w:color w:val="000000"/>
          <w:sz w:val="28"/>
        </w:rPr>
        <w:t xml:space="preserve">
      государственная поддержка – виды государственной поддержки ГЧП, предусмотренные подпунктами 1-6) </w:t>
      </w:r>
      <w:r>
        <w:rPr>
          <w:rFonts w:ascii="Times New Roman"/>
          <w:b w:val="false"/>
          <w:i w:val="false"/>
          <w:color w:val="000000"/>
          <w:sz w:val="28"/>
        </w:rPr>
        <w:t>пункта 2</w:t>
      </w:r>
      <w:r>
        <w:rPr>
          <w:rFonts w:ascii="Times New Roman"/>
          <w:b w:val="false"/>
          <w:i w:val="false"/>
          <w:color w:val="000000"/>
          <w:sz w:val="28"/>
        </w:rPr>
        <w:t xml:space="preserve"> статьи 27 Закона Республики Казахстан от 31 октября 2015 года "О государственно-частном партнерстве" (далее - Закон);</w:t>
      </w:r>
    </w:p>
    <w:bookmarkEnd w:id="296"/>
    <w:bookmarkStart w:name="z337" w:id="297"/>
    <w:p>
      <w:pPr>
        <w:spacing w:after="0"/>
        <w:ind w:left="0"/>
        <w:jc w:val="both"/>
      </w:pPr>
      <w:r>
        <w:rPr>
          <w:rFonts w:ascii="Times New Roman"/>
          <w:b w:val="false"/>
          <w:i w:val="false"/>
          <w:color w:val="000000"/>
          <w:sz w:val="28"/>
        </w:rPr>
        <w:t xml:space="preserve">
      источники возмещения затрат субъектов ГЧП – денежные выплаты за счет бюджетных средств, предусмотренные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статьи 1</w:t>
      </w:r>
      <w:r>
        <w:rPr>
          <w:rFonts w:ascii="Times New Roman"/>
          <w:b w:val="false"/>
          <w:i w:val="false"/>
          <w:color w:val="000000"/>
          <w:sz w:val="28"/>
        </w:rPr>
        <w:t xml:space="preserve"> и </w:t>
      </w:r>
      <w:r>
        <w:rPr>
          <w:rFonts w:ascii="Times New Roman"/>
          <w:b w:val="false"/>
          <w:i w:val="false"/>
          <w:color w:val="000000"/>
          <w:sz w:val="28"/>
        </w:rPr>
        <w:t>пунктом 2</w:t>
      </w:r>
      <w:r>
        <w:rPr>
          <w:rFonts w:ascii="Times New Roman"/>
          <w:b w:val="false"/>
          <w:i w:val="false"/>
          <w:color w:val="000000"/>
          <w:sz w:val="28"/>
        </w:rPr>
        <w:t xml:space="preserve"> статьи 9 Закона.</w:t>
      </w:r>
    </w:p>
    <w:bookmarkEnd w:id="297"/>
    <w:bookmarkStart w:name="z338" w:id="298"/>
    <w:p>
      <w:pPr>
        <w:spacing w:after="0"/>
        <w:ind w:left="0"/>
        <w:jc w:val="both"/>
      </w:pPr>
      <w:r>
        <w:rPr>
          <w:rFonts w:ascii="Times New Roman"/>
          <w:b w:val="false"/>
          <w:i w:val="false"/>
          <w:color w:val="000000"/>
          <w:sz w:val="28"/>
        </w:rPr>
        <w:t xml:space="preserve">
      В настоящей </w:t>
      </w:r>
      <w:r>
        <w:rPr>
          <w:rFonts w:ascii="Times New Roman"/>
          <w:b w:val="false"/>
          <w:i w:val="false"/>
          <w:color w:val="000000"/>
          <w:sz w:val="28"/>
        </w:rPr>
        <w:t>Инструкции</w:t>
      </w:r>
      <w:r>
        <w:rPr>
          <w:rFonts w:ascii="Times New Roman"/>
          <w:b w:val="false"/>
          <w:i w:val="false"/>
          <w:color w:val="000000"/>
          <w:sz w:val="28"/>
        </w:rPr>
        <w:t xml:space="preserve"> под субъектами ГЧП понимаются частный партнер, компания ГЧП (созданная в рамках институционального ГЧП).</w:t>
      </w:r>
    </w:p>
    <w:bookmarkEnd w:id="298"/>
    <w:bookmarkStart w:name="z339" w:id="299"/>
    <w:p>
      <w:pPr>
        <w:spacing w:after="0"/>
        <w:ind w:left="0"/>
        <w:jc w:val="both"/>
      </w:pPr>
      <w:r>
        <w:rPr>
          <w:rFonts w:ascii="Times New Roman"/>
          <w:b w:val="false"/>
          <w:i w:val="false"/>
          <w:color w:val="000000"/>
          <w:sz w:val="28"/>
        </w:rPr>
        <w:t xml:space="preserve">
      Иные термины и определения, используемые в настоящей </w:t>
      </w:r>
      <w:r>
        <w:rPr>
          <w:rFonts w:ascii="Times New Roman"/>
          <w:b w:val="false"/>
          <w:i w:val="false"/>
          <w:color w:val="000000"/>
          <w:sz w:val="28"/>
        </w:rPr>
        <w:t>Инструкции</w:t>
      </w:r>
      <w:r>
        <w:rPr>
          <w:rFonts w:ascii="Times New Roman"/>
          <w:b w:val="false"/>
          <w:i w:val="false"/>
          <w:color w:val="000000"/>
          <w:sz w:val="28"/>
        </w:rPr>
        <w:t>, применяются в соответствии с действующим законодательством.</w:t>
      </w:r>
    </w:p>
    <w:bookmarkEnd w:id="299"/>
    <w:bookmarkStart w:name="z340" w:id="300"/>
    <w:p>
      <w:pPr>
        <w:spacing w:after="0"/>
        <w:ind w:left="0"/>
        <w:jc w:val="both"/>
      </w:pPr>
      <w:r>
        <w:rPr>
          <w:rFonts w:ascii="Times New Roman"/>
          <w:b w:val="false"/>
          <w:i w:val="false"/>
          <w:color w:val="000000"/>
          <w:sz w:val="28"/>
        </w:rPr>
        <w:t>
      4. Суммарная стоимость государственной поддержки и источников возмещения затрат субъектов ГЧП – это совокупная стоимость всех видов государственной поддержки и источников возмещения затрат субъектов ГЧП.</w:t>
      </w:r>
    </w:p>
    <w:bookmarkEnd w:id="300"/>
    <w:bookmarkStart w:name="z341" w:id="301"/>
    <w:p>
      <w:pPr>
        <w:spacing w:after="0"/>
        <w:ind w:left="0"/>
        <w:jc w:val="left"/>
      </w:pPr>
      <w:r>
        <w:rPr>
          <w:rFonts w:ascii="Times New Roman"/>
          <w:b/>
          <w:i w:val="false"/>
          <w:color w:val="000000"/>
        </w:rPr>
        <w:t xml:space="preserve"> Глава 2. Определение стоимости создания и (или) реконструкции объекта ГЧП</w:t>
      </w:r>
    </w:p>
    <w:bookmarkEnd w:id="301"/>
    <w:bookmarkStart w:name="z342" w:id="302"/>
    <w:p>
      <w:pPr>
        <w:spacing w:after="0"/>
        <w:ind w:left="0"/>
        <w:jc w:val="both"/>
      </w:pPr>
      <w:r>
        <w:rPr>
          <w:rFonts w:ascii="Times New Roman"/>
          <w:b w:val="false"/>
          <w:i w:val="false"/>
          <w:color w:val="000000"/>
          <w:sz w:val="28"/>
        </w:rPr>
        <w:t>
      5. Стоимость объекта соответствует понятию первоначальная стоимость актива/основных средств, используемому в Международных стандартах финансовой отчетности 16 (далее – МСФО). Первоначальная стоимость основных средств согласно МСФО складывается из всех затрат, необходимых для приведения актива в рабочее состояние для его использования по назначению. Фактически для основных средств собственного изготовления она определяется как сумма произведенных компанией затрат, включая расходы на привлечение заемных средств (МСФО 23).</w:t>
      </w:r>
    </w:p>
    <w:bookmarkEnd w:id="302"/>
    <w:bookmarkStart w:name="z343" w:id="303"/>
    <w:p>
      <w:pPr>
        <w:spacing w:after="0"/>
        <w:ind w:left="0"/>
        <w:jc w:val="both"/>
      </w:pPr>
      <w:r>
        <w:rPr>
          <w:rFonts w:ascii="Times New Roman"/>
          <w:b w:val="false"/>
          <w:i w:val="false"/>
          <w:color w:val="000000"/>
          <w:sz w:val="28"/>
        </w:rPr>
        <w:t xml:space="preserve">
      6. Стоимость создания и (или) реконструкции объекта ГЧП определяется в целях определения объема государственной поддержки и источников возмещения затрат субъектов ГЧП. </w:t>
      </w:r>
    </w:p>
    <w:bookmarkEnd w:id="303"/>
    <w:bookmarkStart w:name="z344" w:id="304"/>
    <w:p>
      <w:pPr>
        <w:spacing w:after="0"/>
        <w:ind w:left="0"/>
        <w:jc w:val="both"/>
      </w:pPr>
      <w:r>
        <w:rPr>
          <w:rFonts w:ascii="Times New Roman"/>
          <w:b w:val="false"/>
          <w:i w:val="false"/>
          <w:color w:val="000000"/>
          <w:sz w:val="28"/>
        </w:rPr>
        <w:t>
      7. На этапе формирования предложения о возможности передачи объекта в ГЧП стоимость объекта определяется методом оценки в соответствии с законодательством Республики Казахстан об оценочной деятельности.</w:t>
      </w:r>
    </w:p>
    <w:bookmarkEnd w:id="304"/>
    <w:bookmarkStart w:name="z345" w:id="305"/>
    <w:p>
      <w:pPr>
        <w:spacing w:after="0"/>
        <w:ind w:left="0"/>
        <w:jc w:val="both"/>
      </w:pPr>
      <w:r>
        <w:rPr>
          <w:rFonts w:ascii="Times New Roman"/>
          <w:b w:val="false"/>
          <w:i w:val="false"/>
          <w:color w:val="000000"/>
          <w:sz w:val="28"/>
        </w:rPr>
        <w:t>
      8. На стадии планирования проекта ГЧП стоимость создания и (или) реконструкции объекта ГЧП определяется как сумма всех расходов субъектов ГЧП, произведенных с целью создания новых и (или) изменения существующих объектов по проектам ГЧП:</w:t>
      </w:r>
    </w:p>
    <w:bookmarkEnd w:id="305"/>
    <w:bookmarkStart w:name="z346" w:id="306"/>
    <w:p>
      <w:pPr>
        <w:spacing w:after="0"/>
        <w:ind w:left="0"/>
        <w:jc w:val="both"/>
      </w:pPr>
      <w:r>
        <w:rPr>
          <w:rFonts w:ascii="Times New Roman"/>
          <w:b w:val="false"/>
          <w:i w:val="false"/>
          <w:color w:val="000000"/>
          <w:sz w:val="28"/>
        </w:rPr>
        <w:t>
      </w:t>
      </w:r>
    </w:p>
    <w:bookmarkEnd w:id="306"/>
    <w:p>
      <w:pPr>
        <w:spacing w:after="0"/>
        <w:ind w:left="0"/>
        <w:jc w:val="both"/>
      </w:pPr>
      <w:r>
        <w:drawing>
          <wp:inline distT="0" distB="0" distL="0" distR="0">
            <wp:extent cx="17399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39900" cy="151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347" w:id="307"/>
    <w:p>
      <w:pPr>
        <w:spacing w:after="0"/>
        <w:ind w:left="0"/>
        <w:jc w:val="both"/>
      </w:pPr>
      <w:r>
        <w:rPr>
          <w:rFonts w:ascii="Times New Roman"/>
          <w:b w:val="false"/>
          <w:i w:val="false"/>
          <w:color w:val="000000"/>
          <w:sz w:val="28"/>
        </w:rPr>
        <w:t>
      </w:t>
      </w:r>
      <w:r>
        <w:rPr>
          <w:rFonts w:ascii="Times New Roman"/>
          <w:b w:val="false"/>
          <w:i/>
          <w:color w:val="000000"/>
          <w:sz w:val="28"/>
        </w:rPr>
        <w:t>P</w:t>
      </w:r>
      <w:r>
        <w:rPr>
          <w:rFonts w:ascii="Times New Roman"/>
          <w:b w:val="false"/>
          <w:i w:val="false"/>
          <w:color w:val="000000"/>
          <w:vertAlign w:val="subscript"/>
        </w:rPr>
        <w:t>t</w:t>
      </w:r>
      <w:r>
        <w:rPr>
          <w:rFonts w:ascii="Times New Roman"/>
          <w:b w:val="false"/>
          <w:i/>
          <w:color w:val="000000"/>
          <w:sz w:val="28"/>
        </w:rPr>
        <w:t xml:space="preserve"> = P</w:t>
      </w:r>
      <w:r>
        <w:rPr>
          <w:rFonts w:ascii="Times New Roman"/>
          <w:b w:val="false"/>
          <w:i w:val="false"/>
          <w:color w:val="000000"/>
          <w:vertAlign w:val="subscript"/>
        </w:rPr>
        <w:t>t nсд</w:t>
      </w:r>
      <w:r>
        <w:rPr>
          <w:rFonts w:ascii="Times New Roman"/>
          <w:b w:val="false"/>
          <w:i/>
          <w:color w:val="000000"/>
          <w:sz w:val="28"/>
        </w:rPr>
        <w:t xml:space="preserve"> +P</w:t>
      </w:r>
      <w:r>
        <w:rPr>
          <w:rFonts w:ascii="Times New Roman"/>
          <w:b w:val="false"/>
          <w:i w:val="false"/>
          <w:color w:val="000000"/>
          <w:vertAlign w:val="subscript"/>
        </w:rPr>
        <w:t>t mру</w:t>
      </w:r>
      <w:r>
        <w:rPr>
          <w:rFonts w:ascii="Times New Roman"/>
          <w:b w:val="false"/>
          <w:i/>
          <w:color w:val="000000"/>
          <w:sz w:val="28"/>
        </w:rPr>
        <w:t xml:space="preserve"> + P</w:t>
      </w:r>
      <w:r>
        <w:rPr>
          <w:rFonts w:ascii="Times New Roman"/>
          <w:b w:val="false"/>
          <w:i w:val="false"/>
          <w:color w:val="000000"/>
          <w:vertAlign w:val="subscript"/>
        </w:rPr>
        <w:t>t ayn</w:t>
      </w:r>
      <w:r>
        <w:rPr>
          <w:rFonts w:ascii="Times New Roman"/>
          <w:b w:val="false"/>
          <w:i/>
          <w:color w:val="000000"/>
          <w:sz w:val="28"/>
        </w:rPr>
        <w:t xml:space="preserve"> + P</w:t>
      </w:r>
      <w:r>
        <w:rPr>
          <w:rFonts w:ascii="Times New Roman"/>
          <w:b w:val="false"/>
          <w:i w:val="false"/>
          <w:color w:val="000000"/>
          <w:vertAlign w:val="subscript"/>
        </w:rPr>
        <w:t>t фn</w:t>
      </w:r>
      <w:r>
        <w:rPr>
          <w:rFonts w:ascii="Times New Roman"/>
          <w:b w:val="false"/>
          <w:i/>
          <w:color w:val="000000"/>
          <w:sz w:val="28"/>
        </w:rPr>
        <w:t xml:space="preserve"> + P</w:t>
      </w:r>
      <w:r>
        <w:rPr>
          <w:rFonts w:ascii="Times New Roman"/>
          <w:b w:val="false"/>
          <w:i w:val="false"/>
          <w:color w:val="000000"/>
          <w:vertAlign w:val="subscript"/>
        </w:rPr>
        <w:t>t смрах</w:t>
      </w:r>
      <w:r>
        <w:rPr>
          <w:rFonts w:ascii="Times New Roman"/>
          <w:b w:val="false"/>
          <w:i/>
          <w:color w:val="000000"/>
          <w:sz w:val="28"/>
        </w:rPr>
        <w:t xml:space="preserve"> + P</w:t>
      </w:r>
      <w:r>
        <w:rPr>
          <w:rFonts w:ascii="Times New Roman"/>
          <w:b w:val="false"/>
          <w:i w:val="false"/>
          <w:color w:val="000000"/>
          <w:vertAlign w:val="subscript"/>
        </w:rPr>
        <w:t>t аморm</w:t>
      </w:r>
      <w:r>
        <w:rPr>
          <w:rFonts w:ascii="Times New Roman"/>
          <w:b w:val="false"/>
          <w:i/>
          <w:color w:val="000000"/>
          <w:sz w:val="28"/>
        </w:rPr>
        <w:t xml:space="preserve"> +P</w:t>
      </w:r>
      <w:r>
        <w:rPr>
          <w:rFonts w:ascii="Times New Roman"/>
          <w:b w:val="false"/>
          <w:i w:val="false"/>
          <w:color w:val="000000"/>
          <w:vertAlign w:val="subscript"/>
        </w:rPr>
        <w:t xml:space="preserve">t прочие </w:t>
      </w:r>
      <w:r>
        <w:rPr>
          <w:rFonts w:ascii="Times New Roman"/>
          <w:b w:val="false"/>
          <w:i w:val="false"/>
          <w:color w:val="000000"/>
          <w:sz w:val="28"/>
        </w:rPr>
        <w:t>,</w:t>
      </w:r>
    </w:p>
    <w:bookmarkEnd w:id="307"/>
    <w:bookmarkStart w:name="z348" w:id="308"/>
    <w:p>
      <w:pPr>
        <w:spacing w:after="0"/>
        <w:ind w:left="0"/>
        <w:jc w:val="both"/>
      </w:pPr>
      <w:r>
        <w:rPr>
          <w:rFonts w:ascii="Times New Roman"/>
          <w:b w:val="false"/>
          <w:i w:val="false"/>
          <w:color w:val="000000"/>
          <w:sz w:val="28"/>
        </w:rPr>
        <w:t>
      где:</w:t>
      </w:r>
    </w:p>
    <w:bookmarkEnd w:id="308"/>
    <w:bookmarkStart w:name="z349" w:id="309"/>
    <w:p>
      <w:pPr>
        <w:spacing w:after="0"/>
        <w:ind w:left="0"/>
        <w:jc w:val="both"/>
      </w:pPr>
      <w:r>
        <w:rPr>
          <w:rFonts w:ascii="Times New Roman"/>
          <w:b w:val="false"/>
          <w:i w:val="false"/>
          <w:color w:val="000000"/>
          <w:sz w:val="28"/>
        </w:rPr>
        <w:t>
      СО – стоимость объекта;</w:t>
      </w:r>
    </w:p>
    <w:bookmarkEnd w:id="309"/>
    <w:bookmarkStart w:name="z350" w:id="310"/>
    <w:p>
      <w:pPr>
        <w:spacing w:after="0"/>
        <w:ind w:left="0"/>
        <w:jc w:val="both"/>
      </w:pPr>
      <w:r>
        <w:rPr>
          <w:rFonts w:ascii="Times New Roman"/>
          <w:b w:val="false"/>
          <w:i w:val="false"/>
          <w:color w:val="000000"/>
          <w:sz w:val="28"/>
        </w:rPr>
        <w:t>
      N – длительность этапа создания и (или) реконструкции объекта ГЧП в годах;</w:t>
      </w:r>
    </w:p>
    <w:bookmarkEnd w:id="310"/>
    <w:bookmarkStart w:name="z351" w:id="311"/>
    <w:p>
      <w:pPr>
        <w:spacing w:after="0"/>
        <w:ind w:left="0"/>
        <w:jc w:val="both"/>
      </w:pPr>
      <w:r>
        <w:rPr>
          <w:rFonts w:ascii="Times New Roman"/>
          <w:b w:val="false"/>
          <w:i w:val="false"/>
          <w:color w:val="000000"/>
          <w:sz w:val="28"/>
        </w:rPr>
        <w:t>
      Рt – суммарный размер всех затрат субъектов ГЧП на создания и (или) реконструкции объекта ГЧП в период t создания и (или) реконструкции объекта ГЧП;</w:t>
      </w:r>
    </w:p>
    <w:bookmarkEnd w:id="311"/>
    <w:bookmarkStart w:name="z352" w:id="312"/>
    <w:p>
      <w:pPr>
        <w:spacing w:after="0"/>
        <w:ind w:left="0"/>
        <w:jc w:val="both"/>
      </w:pPr>
      <w:r>
        <w:rPr>
          <w:rFonts w:ascii="Times New Roman"/>
          <w:b w:val="false"/>
          <w:i w:val="false"/>
          <w:color w:val="000000"/>
          <w:sz w:val="28"/>
        </w:rPr>
        <w:t>
      Pt nсд – расходы в период t на:</w:t>
      </w:r>
    </w:p>
    <w:bookmarkEnd w:id="312"/>
    <w:bookmarkStart w:name="z353" w:id="313"/>
    <w:p>
      <w:pPr>
        <w:spacing w:after="0"/>
        <w:ind w:left="0"/>
        <w:jc w:val="both"/>
      </w:pPr>
      <w:r>
        <w:rPr>
          <w:rFonts w:ascii="Times New Roman"/>
          <w:b w:val="false"/>
          <w:i w:val="false"/>
          <w:color w:val="000000"/>
          <w:sz w:val="28"/>
        </w:rPr>
        <w:t>
      разработку проектно-сметной документации, определяемые в соответствии со сборником сметных норм и расценок соответствующей отрасли, сборником цен на проектные работы соответствующей отрасли, Сводом правил по проектированию и строительству;</w:t>
      </w:r>
    </w:p>
    <w:bookmarkEnd w:id="313"/>
    <w:bookmarkStart w:name="z354" w:id="314"/>
    <w:p>
      <w:pPr>
        <w:spacing w:after="0"/>
        <w:ind w:left="0"/>
        <w:jc w:val="both"/>
      </w:pPr>
      <w:r>
        <w:rPr>
          <w:rFonts w:ascii="Times New Roman"/>
          <w:b w:val="false"/>
          <w:i w:val="false"/>
          <w:color w:val="000000"/>
          <w:sz w:val="28"/>
        </w:rPr>
        <w:t>
      проведение необходимых экспертиз (комплексная вневедомственная экспертиза, технический надзор, авторский надзор и другие), согласно нормативам соответствующей отрасли;</w:t>
      </w:r>
    </w:p>
    <w:bookmarkEnd w:id="314"/>
    <w:bookmarkStart w:name="z355" w:id="315"/>
    <w:p>
      <w:pPr>
        <w:spacing w:after="0"/>
        <w:ind w:left="0"/>
        <w:jc w:val="both"/>
      </w:pPr>
      <w:r>
        <w:rPr>
          <w:rFonts w:ascii="Times New Roman"/>
          <w:b w:val="false"/>
          <w:i w:val="false"/>
          <w:color w:val="000000"/>
          <w:sz w:val="28"/>
        </w:rPr>
        <w:t>
      получение лицензий, патентов, разрешений и иных документов, предусмотренных в соответствии с действующим законодательством до момента введения объекта ГЧП в эксплуатацию;</w:t>
      </w:r>
    </w:p>
    <w:bookmarkEnd w:id="315"/>
    <w:bookmarkStart w:name="z356" w:id="316"/>
    <w:p>
      <w:pPr>
        <w:spacing w:after="0"/>
        <w:ind w:left="0"/>
        <w:jc w:val="both"/>
      </w:pPr>
      <w:r>
        <w:rPr>
          <w:rFonts w:ascii="Times New Roman"/>
          <w:b w:val="false"/>
          <w:i w:val="false"/>
          <w:color w:val="000000"/>
          <w:sz w:val="28"/>
        </w:rPr>
        <w:t>
      Pt mру – расходы в период t на сырье и материалы, работы и услуги, используемые в создании (строительстве) объекта ГЧП согласно соответствующим стандартам, нормам и правилам;</w:t>
      </w:r>
    </w:p>
    <w:bookmarkEnd w:id="316"/>
    <w:bookmarkStart w:name="z357" w:id="317"/>
    <w:p>
      <w:pPr>
        <w:spacing w:after="0"/>
        <w:ind w:left="0"/>
        <w:jc w:val="both"/>
      </w:pPr>
      <w:r>
        <w:rPr>
          <w:rFonts w:ascii="Times New Roman"/>
          <w:b w:val="false"/>
          <w:i w:val="false"/>
          <w:color w:val="000000"/>
          <w:sz w:val="28"/>
        </w:rPr>
        <w:t>
      Pt ayn – расходы в период t на управление компанией в период создания (строительства) объекта ГЧП, включая технические и административные расходы в пределах нормативных значений в период создания и (или) реконструкции объекта ГЧП, согласно Единому тарифно-квалификационному справочнику работ и профессий рабочих (ЕТКС) и Трудовому кодексу Республики Казахстан;</w:t>
      </w:r>
    </w:p>
    <w:bookmarkEnd w:id="317"/>
    <w:bookmarkStart w:name="z358" w:id="318"/>
    <w:p>
      <w:pPr>
        <w:spacing w:after="0"/>
        <w:ind w:left="0"/>
        <w:jc w:val="both"/>
      </w:pPr>
      <w:r>
        <w:rPr>
          <w:rFonts w:ascii="Times New Roman"/>
          <w:b w:val="false"/>
          <w:i w:val="false"/>
          <w:color w:val="000000"/>
          <w:sz w:val="28"/>
        </w:rPr>
        <w:t>
      Pt фn – расходы в период t на:</w:t>
      </w:r>
    </w:p>
    <w:bookmarkEnd w:id="318"/>
    <w:bookmarkStart w:name="z359" w:id="319"/>
    <w:p>
      <w:pPr>
        <w:spacing w:after="0"/>
        <w:ind w:left="0"/>
        <w:jc w:val="both"/>
      </w:pPr>
      <w:r>
        <w:rPr>
          <w:rFonts w:ascii="Times New Roman"/>
          <w:b w:val="false"/>
          <w:i w:val="false"/>
          <w:color w:val="000000"/>
          <w:sz w:val="28"/>
        </w:rPr>
        <w:t>
      выплату начисляемых вознаграждений по привлекаемым краткосрочным и долгосрочным займам, рассчитываемые по рыночной ставке вознаграждения, установившейся на рынке заемного капитала. В случае привлечения инвестиций на рынке заемного капитала Республики Казахстан расходы на выплату вознаграждений по займам определяются на основе данных статистики Национального Банка Республики Казахстан по ставкам вознаграждения (средневзвешенные) по выданным кредитам, размещаемых в статистическом бюллетене в разделе "Статистика" на сайте Национального Банка Республики Казахстан (http://www.nationalbank.kz), при привлечении иностранного капитала - расходы по выплате вознаграждений рассчитываются с учетом ставки LIBOR и маржи в размере 3 %;</w:t>
      </w:r>
    </w:p>
    <w:bookmarkEnd w:id="319"/>
    <w:bookmarkStart w:name="z360" w:id="320"/>
    <w:p>
      <w:pPr>
        <w:spacing w:after="0"/>
        <w:ind w:left="0"/>
        <w:jc w:val="both"/>
      </w:pPr>
      <w:r>
        <w:rPr>
          <w:rFonts w:ascii="Times New Roman"/>
          <w:b w:val="false"/>
          <w:i w:val="false"/>
          <w:color w:val="000000"/>
          <w:sz w:val="28"/>
        </w:rPr>
        <w:t>
      выплату начисляемых вознаграждений по инфраструктурным облигациям в период создания и (или) реконструкции объекта ГЧП, которые определяются как уровень инфляции (потребительских цен), прогнозируемый в финансово-экономической модели на момент расчетов согласно соответствующему одобренному Прогнозу социально-экономического развития и бюджетных параметров, размещенному на официальном интернет - ресурсе Министерства национальной экономики Республики Казахстан (http://economy.gov.kz/kz/) + фиксированная маржа, действующая на протяжении всего срока обращения облигаций;</w:t>
      </w:r>
    </w:p>
    <w:bookmarkEnd w:id="320"/>
    <w:bookmarkStart w:name="z361" w:id="321"/>
    <w:p>
      <w:pPr>
        <w:spacing w:after="0"/>
        <w:ind w:left="0"/>
        <w:jc w:val="both"/>
      </w:pPr>
      <w:r>
        <w:rPr>
          <w:rFonts w:ascii="Times New Roman"/>
          <w:b w:val="false"/>
          <w:i w:val="false"/>
          <w:color w:val="000000"/>
          <w:sz w:val="28"/>
        </w:rPr>
        <w:t>
      курсовые разницы по кредитам в иностранной валюте согласно соответствующему одобренному Прогнозу социально-экономического развития и бюджетных параметров, размещенному на сайте Министерства национальной экономики Республики Казахстан (http://economy.gov.kz/kz/);</w:t>
      </w:r>
    </w:p>
    <w:bookmarkEnd w:id="321"/>
    <w:bookmarkStart w:name="z362" w:id="322"/>
    <w:p>
      <w:pPr>
        <w:spacing w:after="0"/>
        <w:ind w:left="0"/>
        <w:jc w:val="both"/>
      </w:pPr>
      <w:r>
        <w:rPr>
          <w:rFonts w:ascii="Times New Roman"/>
          <w:b w:val="false"/>
          <w:i w:val="false"/>
          <w:color w:val="000000"/>
          <w:sz w:val="28"/>
        </w:rPr>
        <w:t>
      Pt смрах – расходы в период t на все виды страхования, связанные с созданием и (или) реконструкцией объекта ГЧП, включая страхование по поручительству государства по инфраструктурным облигациям, согласно рыночным ценам на услуги страхования по результатам обследования рынка страховых услуг;</w:t>
      </w:r>
    </w:p>
    <w:bookmarkEnd w:id="322"/>
    <w:bookmarkStart w:name="z363" w:id="323"/>
    <w:p>
      <w:pPr>
        <w:spacing w:after="0"/>
        <w:ind w:left="0"/>
        <w:jc w:val="both"/>
      </w:pPr>
      <w:r>
        <w:rPr>
          <w:rFonts w:ascii="Times New Roman"/>
          <w:b w:val="false"/>
          <w:i w:val="false"/>
          <w:color w:val="000000"/>
          <w:sz w:val="28"/>
        </w:rPr>
        <w:t>
      Pt аморm – амортизация, начисляемая в период t на основные средства и нематериальные активы, используемые непосредственно в создании (строительстве) нового объекта в пределах норм, предусмотренных налоговым законодательством;</w:t>
      </w:r>
    </w:p>
    <w:bookmarkEnd w:id="323"/>
    <w:bookmarkStart w:name="z364" w:id="324"/>
    <w:p>
      <w:pPr>
        <w:spacing w:after="0"/>
        <w:ind w:left="0"/>
        <w:jc w:val="both"/>
      </w:pPr>
      <w:r>
        <w:rPr>
          <w:rFonts w:ascii="Times New Roman"/>
          <w:b w:val="false"/>
          <w:i w:val="false"/>
          <w:color w:val="000000"/>
          <w:sz w:val="28"/>
        </w:rPr>
        <w:t>
      Pt прочие – прочие расходы в период t, включающие в себя расходы по:</w:t>
      </w:r>
    </w:p>
    <w:bookmarkEnd w:id="324"/>
    <w:bookmarkStart w:name="z365" w:id="325"/>
    <w:p>
      <w:pPr>
        <w:spacing w:after="0"/>
        <w:ind w:left="0"/>
        <w:jc w:val="both"/>
      </w:pPr>
      <w:r>
        <w:rPr>
          <w:rFonts w:ascii="Times New Roman"/>
          <w:b w:val="false"/>
          <w:i w:val="false"/>
          <w:color w:val="000000"/>
          <w:sz w:val="28"/>
        </w:rPr>
        <w:t>
      привлечению займов, которые определяются как средние тарифы на услуги банков-участников Соглашения KASE о формировании индикатора KazPrime. Тарифы являются публичной информацией и размещены на сайтах соответствующих финансовых организаций;</w:t>
      </w:r>
    </w:p>
    <w:bookmarkEnd w:id="325"/>
    <w:bookmarkStart w:name="z366" w:id="326"/>
    <w:p>
      <w:pPr>
        <w:spacing w:after="0"/>
        <w:ind w:left="0"/>
        <w:jc w:val="both"/>
      </w:pPr>
      <w:r>
        <w:rPr>
          <w:rFonts w:ascii="Times New Roman"/>
          <w:b w:val="false"/>
          <w:i w:val="false"/>
          <w:color w:val="000000"/>
          <w:sz w:val="28"/>
        </w:rPr>
        <w:t>
      организации выпуска инфраструктурных облигаций, согласно рыночным ценам на соответствующие услуги по результатам обследования рынка;</w:t>
      </w:r>
    </w:p>
    <w:bookmarkEnd w:id="326"/>
    <w:bookmarkStart w:name="z367" w:id="327"/>
    <w:p>
      <w:pPr>
        <w:spacing w:after="0"/>
        <w:ind w:left="0"/>
        <w:jc w:val="both"/>
      </w:pPr>
      <w:r>
        <w:rPr>
          <w:rFonts w:ascii="Times New Roman"/>
          <w:b w:val="false"/>
          <w:i w:val="false"/>
          <w:color w:val="000000"/>
          <w:sz w:val="28"/>
        </w:rPr>
        <w:t>
      платным банковским услугам и комиссиям по банковским гарантиям, согласно рыночным ценам на услуги банковского гарантирования по результатам обследования рынка услуг банковского гарантирования;</w:t>
      </w:r>
    </w:p>
    <w:bookmarkEnd w:id="327"/>
    <w:bookmarkStart w:name="z368" w:id="328"/>
    <w:p>
      <w:pPr>
        <w:spacing w:after="0"/>
        <w:ind w:left="0"/>
        <w:jc w:val="both"/>
      </w:pPr>
      <w:r>
        <w:rPr>
          <w:rFonts w:ascii="Times New Roman"/>
          <w:b w:val="false"/>
          <w:i w:val="false"/>
          <w:color w:val="000000"/>
          <w:sz w:val="28"/>
        </w:rPr>
        <w:t>
      обязательным сборам и платежам, взимаемым уполномоченными государственными органами;</w:t>
      </w:r>
    </w:p>
    <w:bookmarkEnd w:id="328"/>
    <w:bookmarkStart w:name="z369" w:id="329"/>
    <w:p>
      <w:pPr>
        <w:spacing w:after="0"/>
        <w:ind w:left="0"/>
        <w:jc w:val="both"/>
      </w:pPr>
      <w:r>
        <w:rPr>
          <w:rFonts w:ascii="Times New Roman"/>
          <w:b w:val="false"/>
          <w:i w:val="false"/>
          <w:color w:val="000000"/>
          <w:sz w:val="28"/>
        </w:rPr>
        <w:t>
      аудиторским проверкам, согласно ценовым предложениям аудиторских компаний;</w:t>
      </w:r>
    </w:p>
    <w:bookmarkEnd w:id="329"/>
    <w:bookmarkStart w:name="z370" w:id="330"/>
    <w:p>
      <w:pPr>
        <w:spacing w:after="0"/>
        <w:ind w:left="0"/>
        <w:jc w:val="both"/>
      </w:pPr>
      <w:r>
        <w:rPr>
          <w:rFonts w:ascii="Times New Roman"/>
          <w:b w:val="false"/>
          <w:i w:val="false"/>
          <w:color w:val="000000"/>
          <w:sz w:val="28"/>
        </w:rPr>
        <w:t>
      иным расходам, связанным с созданием и (или) реконструкцией объекта ГЧП, в объеме не превышающем 1 % от суммы всех вышеперечисленных расходов на создание и (или) реконструкцию объекта ГЧП.</w:t>
      </w:r>
    </w:p>
    <w:bookmarkEnd w:id="330"/>
    <w:bookmarkStart w:name="z371" w:id="331"/>
    <w:p>
      <w:pPr>
        <w:spacing w:after="0"/>
        <w:ind w:left="0"/>
        <w:jc w:val="both"/>
      </w:pPr>
      <w:r>
        <w:rPr>
          <w:rFonts w:ascii="Times New Roman"/>
          <w:b w:val="false"/>
          <w:i w:val="false"/>
          <w:color w:val="000000"/>
          <w:sz w:val="28"/>
        </w:rPr>
        <w:t xml:space="preserve">
      9. При реконструкции существующего объекта ГЧП стоимость объекта ГЧП равна стоимости, определенной в соответствии со </w:t>
      </w:r>
      <w:r>
        <w:rPr>
          <w:rFonts w:ascii="Times New Roman"/>
          <w:b w:val="false"/>
          <w:i w:val="false"/>
          <w:color w:val="000000"/>
          <w:sz w:val="28"/>
        </w:rPr>
        <w:t>статьями 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и </w:t>
      </w:r>
      <w:r>
        <w:rPr>
          <w:rFonts w:ascii="Times New Roman"/>
          <w:b w:val="false"/>
          <w:i w:val="false"/>
          <w:color w:val="000000"/>
          <w:sz w:val="28"/>
        </w:rPr>
        <w:t>122</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от 10 декабря 2008 года.</w:t>
      </w:r>
    </w:p>
    <w:bookmarkEnd w:id="331"/>
    <w:bookmarkStart w:name="z372" w:id="332"/>
    <w:p>
      <w:pPr>
        <w:spacing w:after="0"/>
        <w:ind w:left="0"/>
        <w:jc w:val="left"/>
      </w:pPr>
      <w:r>
        <w:rPr>
          <w:rFonts w:ascii="Times New Roman"/>
          <w:b/>
          <w:i w:val="false"/>
          <w:color w:val="000000"/>
        </w:rPr>
        <w:t xml:space="preserve"> Глава 3. Расчет суммарной стоимости государственной поддержки и источников возмещения затрат субъектов ГЧП</w:t>
      </w:r>
    </w:p>
    <w:bookmarkEnd w:id="332"/>
    <w:bookmarkStart w:name="z373" w:id="333"/>
    <w:p>
      <w:pPr>
        <w:spacing w:after="0"/>
        <w:ind w:left="0"/>
        <w:jc w:val="both"/>
      </w:pPr>
      <w:r>
        <w:rPr>
          <w:rFonts w:ascii="Times New Roman"/>
          <w:b w:val="false"/>
          <w:i w:val="false"/>
          <w:color w:val="000000"/>
          <w:sz w:val="28"/>
        </w:rPr>
        <w:t>
      10. Расчет суммарной стоимости государственной поддержки и источников возмещения затрат субъектов ГЧП производится с использованием финансово-экономической модели (далее – ФЭМ). В целях определения оптимального уровня государственной поддержки и источников возмещения затрат разрабатывается два варианта ФЭМ, а именно базовая ФЭМ и расширенная ФЭМ.</w:t>
      </w:r>
    </w:p>
    <w:bookmarkEnd w:id="333"/>
    <w:bookmarkStart w:name="z374" w:id="334"/>
    <w:p>
      <w:pPr>
        <w:spacing w:after="0"/>
        <w:ind w:left="0"/>
        <w:jc w:val="both"/>
      </w:pPr>
      <w:r>
        <w:rPr>
          <w:rFonts w:ascii="Times New Roman"/>
          <w:b w:val="false"/>
          <w:i w:val="false"/>
          <w:color w:val="000000"/>
          <w:sz w:val="28"/>
        </w:rPr>
        <w:t>
      11. При разработке базовой ФЭМ используется предположение, что проект осуществляется при отсутствии государственной поддержки и источников возмещения затрат. В рамках базовой ФЭМ вычисляется чистая приведенная стоимость проекта без учета мер финансовой поддержки (далее –базовая NPV).</w:t>
      </w:r>
    </w:p>
    <w:bookmarkEnd w:id="334"/>
    <w:bookmarkStart w:name="z375" w:id="335"/>
    <w:p>
      <w:pPr>
        <w:spacing w:after="0"/>
        <w:ind w:left="0"/>
        <w:jc w:val="both"/>
      </w:pPr>
      <w:r>
        <w:rPr>
          <w:rFonts w:ascii="Times New Roman"/>
          <w:b w:val="false"/>
          <w:i w:val="false"/>
          <w:color w:val="000000"/>
          <w:sz w:val="28"/>
        </w:rPr>
        <w:t>
      12. При расчете базовой NPV соблюдаются следующие требования и предположения:</w:t>
      </w:r>
    </w:p>
    <w:bookmarkEnd w:id="335"/>
    <w:bookmarkStart w:name="z376" w:id="336"/>
    <w:p>
      <w:pPr>
        <w:spacing w:after="0"/>
        <w:ind w:left="0"/>
        <w:jc w:val="both"/>
      </w:pPr>
      <w:r>
        <w:rPr>
          <w:rFonts w:ascii="Times New Roman"/>
          <w:b w:val="false"/>
          <w:i w:val="false"/>
          <w:color w:val="000000"/>
          <w:sz w:val="28"/>
        </w:rPr>
        <w:t>
      1) проект финансируется только из коммерческих источников по рыночной стоимости заимствования (процентной ставке);</w:t>
      </w:r>
    </w:p>
    <w:bookmarkEnd w:id="336"/>
    <w:bookmarkStart w:name="z377" w:id="337"/>
    <w:p>
      <w:pPr>
        <w:spacing w:after="0"/>
        <w:ind w:left="0"/>
        <w:jc w:val="both"/>
      </w:pPr>
      <w:r>
        <w:rPr>
          <w:rFonts w:ascii="Times New Roman"/>
          <w:b w:val="false"/>
          <w:i w:val="false"/>
          <w:color w:val="000000"/>
          <w:sz w:val="28"/>
        </w:rPr>
        <w:t>
      2) меры финансовой поддержки не предоставляются;</w:t>
      </w:r>
    </w:p>
    <w:bookmarkEnd w:id="337"/>
    <w:bookmarkStart w:name="z378" w:id="338"/>
    <w:p>
      <w:pPr>
        <w:spacing w:after="0"/>
        <w:ind w:left="0"/>
        <w:jc w:val="both"/>
      </w:pPr>
      <w:r>
        <w:rPr>
          <w:rFonts w:ascii="Times New Roman"/>
          <w:b w:val="false"/>
          <w:i w:val="false"/>
          <w:color w:val="000000"/>
          <w:sz w:val="28"/>
        </w:rPr>
        <w:t>
      3) допускается наличие отрицательной базовой NPV.</w:t>
      </w:r>
    </w:p>
    <w:bookmarkEnd w:id="338"/>
    <w:bookmarkStart w:name="z379" w:id="339"/>
    <w:p>
      <w:pPr>
        <w:spacing w:after="0"/>
        <w:ind w:left="0"/>
        <w:jc w:val="both"/>
      </w:pPr>
      <w:r>
        <w:rPr>
          <w:rFonts w:ascii="Times New Roman"/>
          <w:b w:val="false"/>
          <w:i w:val="false"/>
          <w:color w:val="000000"/>
          <w:sz w:val="28"/>
        </w:rPr>
        <w:t>
      13. Расширенная ФЭМ разрабатывается на основе базовой ФЭМ в случае предоставления государственной поддержки и источников возмещения затрат. Расширенная ФЭМ разрабатывается путем включения в базовую ФЭМ мер государственной поддержки и источников возмещения затрат.</w:t>
      </w:r>
    </w:p>
    <w:bookmarkEnd w:id="339"/>
    <w:bookmarkStart w:name="z380" w:id="340"/>
    <w:p>
      <w:pPr>
        <w:spacing w:after="0"/>
        <w:ind w:left="0"/>
        <w:jc w:val="both"/>
      </w:pPr>
      <w:r>
        <w:rPr>
          <w:rFonts w:ascii="Times New Roman"/>
          <w:b w:val="false"/>
          <w:i w:val="false"/>
          <w:color w:val="000000"/>
          <w:sz w:val="28"/>
        </w:rPr>
        <w:t xml:space="preserve">
      14. При разработке расширенной ФЭМ в целях определения оптимальной схемы реализации проекта ГЧП разработчиком рассматривается возможность применения различных видов государственной поддержки и источников возмещения затрат субъектов ГЧП с соблюдением требований </w:t>
      </w:r>
      <w:r>
        <w:rPr>
          <w:rFonts w:ascii="Times New Roman"/>
          <w:b w:val="false"/>
          <w:i w:val="false"/>
          <w:color w:val="000000"/>
          <w:sz w:val="28"/>
        </w:rPr>
        <w:t>Закона</w:t>
      </w:r>
      <w:r>
        <w:rPr>
          <w:rFonts w:ascii="Times New Roman"/>
          <w:b w:val="false"/>
          <w:i w:val="false"/>
          <w:color w:val="000000"/>
          <w:sz w:val="28"/>
        </w:rPr>
        <w:t>, с учетом установленных лимитов государственных обязательств по проектам ГЧП, в том числе государственных концессионных обязательств, соотношения выгод и затрат, институциональной схемы и других особенностей проекта ГЧП.</w:t>
      </w:r>
    </w:p>
    <w:bookmarkEnd w:id="340"/>
    <w:bookmarkStart w:name="z381" w:id="341"/>
    <w:p>
      <w:pPr>
        <w:spacing w:after="0"/>
        <w:ind w:left="0"/>
        <w:jc w:val="both"/>
      </w:pPr>
      <w:r>
        <w:rPr>
          <w:rFonts w:ascii="Times New Roman"/>
          <w:b w:val="false"/>
          <w:i w:val="false"/>
          <w:color w:val="000000"/>
          <w:sz w:val="28"/>
        </w:rPr>
        <w:t xml:space="preserve">
      15.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от 29 октября 2015 года оценка государственных натурных грантов осуществляется по их рыночной стоимости в порядке, установленном законодательством Республики Казахстан об оценочной деятельности. </w:t>
      </w:r>
    </w:p>
    <w:bookmarkEnd w:id="341"/>
    <w:bookmarkStart w:name="z382" w:id="342"/>
    <w:p>
      <w:pPr>
        <w:spacing w:after="0"/>
        <w:ind w:left="0"/>
        <w:jc w:val="both"/>
      </w:pPr>
      <w:r>
        <w:rPr>
          <w:rFonts w:ascii="Times New Roman"/>
          <w:b w:val="false"/>
          <w:i w:val="false"/>
          <w:color w:val="000000"/>
          <w:sz w:val="28"/>
        </w:rPr>
        <w:t>
      16. Стоимость исключительных прав на объекты интеллектуальной собственности, принадлежащих государству является стоимостью, определенной согласно законодательству Республики Казахстан по вопросам интеллектуальной собственности и оценочной деятельности.</w:t>
      </w:r>
    </w:p>
    <w:bookmarkEnd w:id="342"/>
    <w:bookmarkStart w:name="z383" w:id="343"/>
    <w:p>
      <w:pPr>
        <w:spacing w:after="0"/>
        <w:ind w:left="0"/>
        <w:jc w:val="both"/>
      </w:pPr>
      <w:r>
        <w:rPr>
          <w:rFonts w:ascii="Times New Roman"/>
          <w:b w:val="false"/>
          <w:i w:val="false"/>
          <w:color w:val="000000"/>
          <w:sz w:val="28"/>
        </w:rPr>
        <w:t>
      17. Стоимость поручительства государства по инфраструктурным облигациям в рамках договоров ГЧП является стоимостью исполнения поручительства и рассчитывается как сумма основного долга по облигационному займу, обеспеченного поручительством, и вознаграждения по нему по наиболее высокой процентной ставке, прогнозируемой на период реализации проекта ГЧП, начисленного за 1 период начисления и 6 месяцев:</w:t>
      </w:r>
    </w:p>
    <w:bookmarkEnd w:id="343"/>
    <w:bookmarkStart w:name="z384" w:id="344"/>
    <w:p>
      <w:pPr>
        <w:spacing w:after="0"/>
        <w:ind w:left="0"/>
        <w:jc w:val="both"/>
      </w:pPr>
      <w:r>
        <w:rPr>
          <w:rFonts w:ascii="Times New Roman"/>
          <w:b w:val="false"/>
          <w:i w:val="false"/>
          <w:color w:val="000000"/>
          <w:sz w:val="28"/>
        </w:rPr>
        <w:t>
      </w:t>
      </w:r>
    </w:p>
    <w:bookmarkEnd w:id="344"/>
    <w:p>
      <w:pPr>
        <w:spacing w:after="0"/>
        <w:ind w:left="0"/>
        <w:jc w:val="both"/>
      </w:pPr>
      <w:r>
        <w:drawing>
          <wp:inline distT="0" distB="0" distL="0" distR="0">
            <wp:extent cx="4178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78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5" w:id="345"/>
    <w:p>
      <w:pPr>
        <w:spacing w:after="0"/>
        <w:ind w:left="0"/>
        <w:jc w:val="both"/>
      </w:pPr>
      <w:r>
        <w:rPr>
          <w:rFonts w:ascii="Times New Roman"/>
          <w:b w:val="false"/>
          <w:i w:val="false"/>
          <w:color w:val="000000"/>
          <w:sz w:val="28"/>
        </w:rPr>
        <w:t>
      где:</w:t>
      </w:r>
    </w:p>
    <w:bookmarkEnd w:id="345"/>
    <w:bookmarkStart w:name="z386" w:id="346"/>
    <w:p>
      <w:pPr>
        <w:spacing w:after="0"/>
        <w:ind w:left="0"/>
        <w:jc w:val="both"/>
      </w:pPr>
      <w:r>
        <w:rPr>
          <w:rFonts w:ascii="Times New Roman"/>
          <w:b w:val="false"/>
          <w:i w:val="false"/>
          <w:color w:val="000000"/>
          <w:sz w:val="28"/>
        </w:rPr>
        <w:t>
      P – стоимость государственной поддержки в рамках поручительства государства по инфраструктурным облигациям;</w:t>
      </w:r>
    </w:p>
    <w:bookmarkEnd w:id="346"/>
    <w:bookmarkStart w:name="z387" w:id="347"/>
    <w:p>
      <w:pPr>
        <w:spacing w:after="0"/>
        <w:ind w:left="0"/>
        <w:jc w:val="both"/>
      </w:pPr>
      <w:r>
        <w:rPr>
          <w:rFonts w:ascii="Times New Roman"/>
          <w:b w:val="false"/>
          <w:i w:val="false"/>
          <w:color w:val="000000"/>
          <w:sz w:val="28"/>
        </w:rPr>
        <w:t>
      D – сумма основного долга;</w:t>
      </w:r>
    </w:p>
    <w:bookmarkEnd w:id="347"/>
    <w:bookmarkStart w:name="z388" w:id="348"/>
    <w:p>
      <w:pPr>
        <w:spacing w:after="0"/>
        <w:ind w:left="0"/>
        <w:jc w:val="both"/>
      </w:pPr>
      <w:r>
        <w:rPr>
          <w:rFonts w:ascii="Times New Roman"/>
          <w:b w:val="false"/>
          <w:i w:val="false"/>
          <w:color w:val="000000"/>
          <w:sz w:val="28"/>
        </w:rPr>
        <w:t>
      r – процентная ставка, определяемая как максимальный уровень инфляции, прогнозируемый в ФЭМ, + (плюс) фиксированная маржа, действующая на протяжении всего срока обращения облигаций;</w:t>
      </w:r>
    </w:p>
    <w:bookmarkEnd w:id="348"/>
    <w:bookmarkStart w:name="z389" w:id="349"/>
    <w:p>
      <w:pPr>
        <w:spacing w:after="0"/>
        <w:ind w:left="0"/>
        <w:jc w:val="both"/>
      </w:pPr>
      <w:r>
        <w:rPr>
          <w:rFonts w:ascii="Times New Roman"/>
          <w:b w:val="false"/>
          <w:i w:val="false"/>
          <w:color w:val="000000"/>
          <w:sz w:val="28"/>
        </w:rPr>
        <w:t>
      p – количество периодов начисления купонного вознаграждения в календарном году.</w:t>
      </w:r>
    </w:p>
    <w:bookmarkEnd w:id="349"/>
    <w:bookmarkStart w:name="z390" w:id="350"/>
    <w:p>
      <w:pPr>
        <w:spacing w:after="0"/>
        <w:ind w:left="0"/>
        <w:jc w:val="both"/>
      </w:pPr>
      <w:r>
        <w:rPr>
          <w:rFonts w:ascii="Times New Roman"/>
          <w:b w:val="false"/>
          <w:i w:val="false"/>
          <w:color w:val="000000"/>
          <w:sz w:val="28"/>
        </w:rPr>
        <w:t>
      18. Стоимость государственной гарантии по негосударственным займам рассчитывается как сумма основного долга по займу, обеспеченного государственной гарантией, и вознаграждения по нему по наиболее высокой процентной ставке, прогнозируемой на период реализации проекта ГЧП, начисленного за 1 период начисления и 1 месяц, либо за период в соответствии с условиями договора:</w:t>
      </w:r>
    </w:p>
    <w:bookmarkEnd w:id="350"/>
    <w:bookmarkStart w:name="z391" w:id="351"/>
    <w:p>
      <w:pPr>
        <w:spacing w:after="0"/>
        <w:ind w:left="0"/>
        <w:jc w:val="both"/>
      </w:pPr>
      <w:r>
        <w:rPr>
          <w:rFonts w:ascii="Times New Roman"/>
          <w:b w:val="false"/>
          <w:i w:val="false"/>
          <w:color w:val="000000"/>
          <w:sz w:val="28"/>
        </w:rPr>
        <w:t>
      </w:t>
      </w:r>
    </w:p>
    <w:bookmarkEnd w:id="351"/>
    <w:p>
      <w:pPr>
        <w:spacing w:after="0"/>
        <w:ind w:left="0"/>
        <w:jc w:val="both"/>
      </w:pPr>
      <w:r>
        <w:drawing>
          <wp:inline distT="0" distB="0" distL="0" distR="0">
            <wp:extent cx="3746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7465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2" w:id="352"/>
    <w:p>
      <w:pPr>
        <w:spacing w:after="0"/>
        <w:ind w:left="0"/>
        <w:jc w:val="both"/>
      </w:pPr>
      <w:r>
        <w:rPr>
          <w:rFonts w:ascii="Times New Roman"/>
          <w:b w:val="false"/>
          <w:i w:val="false"/>
          <w:color w:val="000000"/>
          <w:sz w:val="28"/>
        </w:rPr>
        <w:t>
      где:</w:t>
      </w:r>
    </w:p>
    <w:bookmarkEnd w:id="352"/>
    <w:bookmarkStart w:name="z393" w:id="353"/>
    <w:p>
      <w:pPr>
        <w:spacing w:after="0"/>
        <w:ind w:left="0"/>
        <w:jc w:val="both"/>
      </w:pPr>
      <w:r>
        <w:rPr>
          <w:rFonts w:ascii="Times New Roman"/>
          <w:b w:val="false"/>
          <w:i w:val="false"/>
          <w:color w:val="000000"/>
          <w:sz w:val="28"/>
        </w:rPr>
        <w:t>
      G – стоимость государственных гарантий;</w:t>
      </w:r>
    </w:p>
    <w:bookmarkEnd w:id="353"/>
    <w:bookmarkStart w:name="z394" w:id="354"/>
    <w:p>
      <w:pPr>
        <w:spacing w:after="0"/>
        <w:ind w:left="0"/>
        <w:jc w:val="both"/>
      </w:pPr>
      <w:r>
        <w:rPr>
          <w:rFonts w:ascii="Times New Roman"/>
          <w:b w:val="false"/>
          <w:i w:val="false"/>
          <w:color w:val="000000"/>
          <w:sz w:val="28"/>
        </w:rPr>
        <w:t>
      L – сумма основного долга по займу, гарантируемому государством;</w:t>
      </w:r>
    </w:p>
    <w:bookmarkEnd w:id="354"/>
    <w:bookmarkStart w:name="z395" w:id="355"/>
    <w:p>
      <w:pPr>
        <w:spacing w:after="0"/>
        <w:ind w:left="0"/>
        <w:jc w:val="both"/>
      </w:pPr>
      <w:r>
        <w:rPr>
          <w:rFonts w:ascii="Times New Roman"/>
          <w:b w:val="false"/>
          <w:i w:val="false"/>
          <w:color w:val="000000"/>
          <w:sz w:val="28"/>
        </w:rPr>
        <w:t>
      s – наиболее высокая прогнозируемая на период реализации проекта ГЧП годовая ставка вознаграждения по займу, гарантируемому государством, в соответствии с условиями договора о займе или конкурсной заявки. На этапе разработки концепции проекта и конкурсной документации определяется как ставка LIBOR + (плюс) 1 %;</w:t>
      </w:r>
    </w:p>
    <w:bookmarkEnd w:id="355"/>
    <w:bookmarkStart w:name="z396" w:id="356"/>
    <w:p>
      <w:pPr>
        <w:spacing w:after="0"/>
        <w:ind w:left="0"/>
        <w:jc w:val="both"/>
      </w:pPr>
      <w:r>
        <w:rPr>
          <w:rFonts w:ascii="Times New Roman"/>
          <w:b w:val="false"/>
          <w:i w:val="false"/>
          <w:color w:val="000000"/>
          <w:sz w:val="28"/>
        </w:rPr>
        <w:t>
      t – количество периодов начисления вознаграждения по займу, гарантируемому государством, в календарном году.</w:t>
      </w:r>
    </w:p>
    <w:bookmarkEnd w:id="356"/>
    <w:bookmarkStart w:name="z397" w:id="357"/>
    <w:p>
      <w:pPr>
        <w:spacing w:after="0"/>
        <w:ind w:left="0"/>
        <w:jc w:val="both"/>
      </w:pPr>
      <w:r>
        <w:rPr>
          <w:rFonts w:ascii="Times New Roman"/>
          <w:b w:val="false"/>
          <w:i w:val="false"/>
          <w:color w:val="000000"/>
          <w:sz w:val="28"/>
        </w:rPr>
        <w:t>
      19. Сумма софинансирования проекта ГЧП равна совокупной величине расходов, производимых из государственного бюджета в течение периода строительства, создания, реконструкции, модернизации объекта ГЧП.</w:t>
      </w:r>
    </w:p>
    <w:bookmarkEnd w:id="357"/>
    <w:bookmarkStart w:name="z398" w:id="358"/>
    <w:p>
      <w:pPr>
        <w:spacing w:after="0"/>
        <w:ind w:left="0"/>
        <w:jc w:val="both"/>
      </w:pPr>
      <w:r>
        <w:rPr>
          <w:rFonts w:ascii="Times New Roman"/>
          <w:b w:val="false"/>
          <w:i w:val="false"/>
          <w:color w:val="000000"/>
          <w:sz w:val="28"/>
        </w:rPr>
        <w:t>
      20. Сумма компенсации инвестиционных затрат по проекту ГЧП (далее – КИЗ) равна совокупной величине платежей в течение периода эксплуатации объекта ГЧП.</w:t>
      </w:r>
    </w:p>
    <w:bookmarkEnd w:id="358"/>
    <w:bookmarkStart w:name="z399" w:id="359"/>
    <w:p>
      <w:pPr>
        <w:spacing w:after="0"/>
        <w:ind w:left="0"/>
        <w:jc w:val="both"/>
      </w:pPr>
      <w:r>
        <w:rPr>
          <w:rFonts w:ascii="Times New Roman"/>
          <w:b w:val="false"/>
          <w:i w:val="false"/>
          <w:color w:val="000000"/>
          <w:sz w:val="28"/>
        </w:rPr>
        <w:t>
      Суммарный объем КИЗ не должен превышать будущую стоимость объекта ГЧП на последний год выплаты КИЗ с учетом инфляции. Будущая стоимость объекта ГЧП рассчитывается по следующей формуле:</w:t>
      </w:r>
    </w:p>
    <w:bookmarkEnd w:id="359"/>
    <w:bookmarkStart w:name="z400" w:id="360"/>
    <w:p>
      <w:pPr>
        <w:spacing w:after="0"/>
        <w:ind w:left="0"/>
        <w:jc w:val="both"/>
      </w:pPr>
      <w:r>
        <w:rPr>
          <w:rFonts w:ascii="Times New Roman"/>
          <w:b w:val="false"/>
          <w:i w:val="false"/>
          <w:color w:val="000000"/>
          <w:sz w:val="28"/>
        </w:rPr>
        <w:t>
      </w:t>
      </w:r>
    </w:p>
    <w:bookmarkEnd w:id="360"/>
    <w:p>
      <w:pPr>
        <w:spacing w:after="0"/>
        <w:ind w:left="0"/>
        <w:jc w:val="both"/>
      </w:pPr>
      <w:r>
        <w:drawing>
          <wp:inline distT="0" distB="0" distL="0" distR="0">
            <wp:extent cx="2603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035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1" w:id="361"/>
    <w:p>
      <w:pPr>
        <w:spacing w:after="0"/>
        <w:ind w:left="0"/>
        <w:jc w:val="both"/>
      </w:pPr>
      <w:r>
        <w:rPr>
          <w:rFonts w:ascii="Times New Roman"/>
          <w:b w:val="false"/>
          <w:i w:val="false"/>
          <w:color w:val="000000"/>
          <w:sz w:val="28"/>
        </w:rPr>
        <w:t>
      где:</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стоимость объекта ГЧП на последний год выплаты КИЗ;</w:t>
      </w:r>
    </w:p>
    <w:bookmarkStart w:name="z403" w:id="362"/>
    <w:p>
      <w:pPr>
        <w:spacing w:after="0"/>
        <w:ind w:left="0"/>
        <w:jc w:val="both"/>
      </w:pPr>
      <w:r>
        <w:rPr>
          <w:rFonts w:ascii="Times New Roman"/>
          <w:b w:val="false"/>
          <w:i w:val="false"/>
          <w:color w:val="000000"/>
          <w:sz w:val="28"/>
        </w:rPr>
        <w:t>
       – последний год выплаты КИЗ;</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стоимость объекта ГЧП на момент заключения договора ГЧП;</w:t>
      </w:r>
    </w:p>
    <w:bookmarkStart w:name="z405" w:id="363"/>
    <w:p>
      <w:pPr>
        <w:spacing w:after="0"/>
        <w:ind w:left="0"/>
        <w:jc w:val="both"/>
      </w:pPr>
      <w:r>
        <w:rPr>
          <w:rFonts w:ascii="Times New Roman"/>
          <w:b w:val="false"/>
          <w:i w:val="false"/>
          <w:color w:val="000000"/>
          <w:sz w:val="28"/>
        </w:rPr>
        <w:t>
       – прогнозная ставка инфляции, согласно Прогнозу социально-экономического развития Республики Казахстан, одобренного Правительством Республики Казахстан или местным исполнительным органом области, города республиканского значения, столицы, который подлежит опубликованию в средствах массовой информации.</w:t>
      </w:r>
    </w:p>
    <w:bookmarkEnd w:id="363"/>
    <w:bookmarkStart w:name="z406" w:id="364"/>
    <w:p>
      <w:pPr>
        <w:spacing w:after="0"/>
        <w:ind w:left="0"/>
        <w:jc w:val="both"/>
      </w:pPr>
      <w:r>
        <w:rPr>
          <w:rFonts w:ascii="Times New Roman"/>
          <w:b w:val="false"/>
          <w:i w:val="false"/>
          <w:color w:val="000000"/>
          <w:sz w:val="28"/>
        </w:rPr>
        <w:t>
      При этом, если проект ГЧП предполагает наличие иных источников возмещения затрат субъектов ГЧП кроме КИЗ, не допускается индексация КИЗ на уровень инфляции.</w:t>
      </w:r>
    </w:p>
    <w:bookmarkEnd w:id="364"/>
    <w:bookmarkStart w:name="z407" w:id="365"/>
    <w:p>
      <w:pPr>
        <w:spacing w:after="0"/>
        <w:ind w:left="0"/>
        <w:jc w:val="both"/>
      </w:pPr>
      <w:r>
        <w:rPr>
          <w:rFonts w:ascii="Times New Roman"/>
          <w:b w:val="false"/>
          <w:i w:val="false"/>
          <w:color w:val="000000"/>
          <w:sz w:val="28"/>
        </w:rPr>
        <w:t>
      21. При расчете суммы компенсации операционных затрат по проекту ГЧП учитываются следующие группы операционных затрат:</w:t>
      </w:r>
    </w:p>
    <w:bookmarkEnd w:id="365"/>
    <w:bookmarkStart w:name="z408" w:id="366"/>
    <w:p>
      <w:pPr>
        <w:spacing w:after="0"/>
        <w:ind w:left="0"/>
        <w:jc w:val="both"/>
      </w:pPr>
      <w:r>
        <w:rPr>
          <w:rFonts w:ascii="Times New Roman"/>
          <w:b w:val="false"/>
          <w:i w:val="false"/>
          <w:color w:val="000000"/>
          <w:sz w:val="28"/>
        </w:rPr>
        <w:t xml:space="preserve">
      1) затраты на содержание и эксплуатацию инженерного и технологического оборудования объекта ГЧП; </w:t>
      </w:r>
    </w:p>
    <w:bookmarkEnd w:id="366"/>
    <w:bookmarkStart w:name="z409" w:id="367"/>
    <w:p>
      <w:pPr>
        <w:spacing w:after="0"/>
        <w:ind w:left="0"/>
        <w:jc w:val="both"/>
      </w:pPr>
      <w:r>
        <w:rPr>
          <w:rFonts w:ascii="Times New Roman"/>
          <w:b w:val="false"/>
          <w:i w:val="false"/>
          <w:color w:val="000000"/>
          <w:sz w:val="28"/>
        </w:rPr>
        <w:t xml:space="preserve">
      2) затраты на содержание зданий (сооружений) и территорий объекта ГЧП; </w:t>
      </w:r>
    </w:p>
    <w:bookmarkEnd w:id="367"/>
    <w:bookmarkStart w:name="z410" w:id="368"/>
    <w:p>
      <w:pPr>
        <w:spacing w:after="0"/>
        <w:ind w:left="0"/>
        <w:jc w:val="both"/>
      </w:pPr>
      <w:r>
        <w:rPr>
          <w:rFonts w:ascii="Times New Roman"/>
          <w:b w:val="false"/>
          <w:i w:val="false"/>
          <w:color w:val="000000"/>
          <w:sz w:val="28"/>
        </w:rPr>
        <w:t>
      3) административные затраты (оплату труда административно-управленческого персонала; расходы по страхованию; текущие расходы субъекта ГЧП (банковские услуги, услуги связи, охранные услуги);</w:t>
      </w:r>
    </w:p>
    <w:bookmarkEnd w:id="368"/>
    <w:bookmarkStart w:name="z411" w:id="369"/>
    <w:p>
      <w:pPr>
        <w:spacing w:after="0"/>
        <w:ind w:left="0"/>
        <w:jc w:val="both"/>
      </w:pPr>
      <w:r>
        <w:rPr>
          <w:rFonts w:ascii="Times New Roman"/>
          <w:b w:val="false"/>
          <w:i w:val="false"/>
          <w:color w:val="000000"/>
          <w:sz w:val="28"/>
        </w:rPr>
        <w:t>
      4) расходы по налогам;</w:t>
      </w:r>
    </w:p>
    <w:bookmarkEnd w:id="369"/>
    <w:bookmarkStart w:name="z412" w:id="370"/>
    <w:p>
      <w:pPr>
        <w:spacing w:after="0"/>
        <w:ind w:left="0"/>
        <w:jc w:val="both"/>
      </w:pPr>
      <w:r>
        <w:rPr>
          <w:rFonts w:ascii="Times New Roman"/>
          <w:b w:val="false"/>
          <w:i w:val="false"/>
          <w:color w:val="000000"/>
          <w:sz w:val="28"/>
        </w:rPr>
        <w:t>
      5) расходы по страхованию;</w:t>
      </w:r>
    </w:p>
    <w:bookmarkEnd w:id="370"/>
    <w:bookmarkStart w:name="z413" w:id="371"/>
    <w:p>
      <w:pPr>
        <w:spacing w:after="0"/>
        <w:ind w:left="0"/>
        <w:jc w:val="both"/>
      </w:pPr>
      <w:r>
        <w:rPr>
          <w:rFonts w:ascii="Times New Roman"/>
          <w:b w:val="false"/>
          <w:i w:val="false"/>
          <w:color w:val="000000"/>
          <w:sz w:val="28"/>
        </w:rPr>
        <w:t xml:space="preserve">
      6) расходы по обслуживанию займов; </w:t>
      </w:r>
    </w:p>
    <w:bookmarkEnd w:id="371"/>
    <w:bookmarkStart w:name="z414" w:id="372"/>
    <w:p>
      <w:pPr>
        <w:spacing w:after="0"/>
        <w:ind w:left="0"/>
        <w:jc w:val="both"/>
      </w:pPr>
      <w:r>
        <w:rPr>
          <w:rFonts w:ascii="Times New Roman"/>
          <w:b w:val="false"/>
          <w:i w:val="false"/>
          <w:color w:val="000000"/>
          <w:sz w:val="28"/>
        </w:rPr>
        <w:t>
      7) прочие операционные затраты, в том числе: текущий ремонт; средний ремонт; материальные расходы (сырье необходимое для эксплуатации объекта ГЧП, такие как топливо, запасные части оборудований, мелкий ремонт оборудования и т.п.); натуральные нормы или материальные запасы, необходимые для функционирования объекта ГЧП, такие отраслевые расходы, как: спецодежда; стоимость питания, на объектах ГЧП, финансируемые из республиканского и местного бюджетов; необходимое инвентарное имущество на объектах ГЧП.</w:t>
      </w:r>
    </w:p>
    <w:bookmarkEnd w:id="372"/>
    <w:bookmarkStart w:name="z415" w:id="373"/>
    <w:p>
      <w:pPr>
        <w:spacing w:after="0"/>
        <w:ind w:left="0"/>
        <w:jc w:val="both"/>
      </w:pPr>
      <w:r>
        <w:rPr>
          <w:rFonts w:ascii="Times New Roman"/>
          <w:b w:val="false"/>
          <w:i w:val="false"/>
          <w:color w:val="000000"/>
          <w:sz w:val="28"/>
        </w:rPr>
        <w:t xml:space="preserve">
      22. Расходы по капитальному ремонту объекта ГЧП учитываются в рамках одного из следующих источников возмещения затрат и получения доходов субъектов ГЧП: </w:t>
      </w:r>
    </w:p>
    <w:bookmarkEnd w:id="373"/>
    <w:bookmarkStart w:name="z416" w:id="374"/>
    <w:p>
      <w:pPr>
        <w:spacing w:after="0"/>
        <w:ind w:left="0"/>
        <w:jc w:val="both"/>
      </w:pPr>
      <w:r>
        <w:rPr>
          <w:rFonts w:ascii="Times New Roman"/>
          <w:b w:val="false"/>
          <w:i w:val="false"/>
          <w:color w:val="000000"/>
          <w:sz w:val="28"/>
        </w:rPr>
        <w:t>
      1) вознаграждение за осуществление управления объектом ГЧП, находящимся в государственной собственности, а также арендная плата за пользование объектом ГЧП;</w:t>
      </w:r>
    </w:p>
    <w:bookmarkEnd w:id="374"/>
    <w:bookmarkStart w:name="z417" w:id="375"/>
    <w:p>
      <w:pPr>
        <w:spacing w:after="0"/>
        <w:ind w:left="0"/>
        <w:jc w:val="both"/>
      </w:pPr>
      <w:r>
        <w:rPr>
          <w:rFonts w:ascii="Times New Roman"/>
          <w:b w:val="false"/>
          <w:i w:val="false"/>
          <w:color w:val="000000"/>
          <w:sz w:val="28"/>
        </w:rPr>
        <w:t>
      2) плата за доступность;</w:t>
      </w:r>
    </w:p>
    <w:bookmarkEnd w:id="375"/>
    <w:bookmarkStart w:name="z418" w:id="376"/>
    <w:p>
      <w:pPr>
        <w:spacing w:after="0"/>
        <w:ind w:left="0"/>
        <w:jc w:val="both"/>
      </w:pPr>
      <w:r>
        <w:rPr>
          <w:rFonts w:ascii="Times New Roman"/>
          <w:b w:val="false"/>
          <w:i w:val="false"/>
          <w:color w:val="000000"/>
          <w:sz w:val="28"/>
        </w:rPr>
        <w:t>
      3) субсидии от государства в случаях, установленных законодательством Республики Казахстан.</w:t>
      </w:r>
    </w:p>
    <w:bookmarkEnd w:id="376"/>
    <w:bookmarkStart w:name="z419" w:id="377"/>
    <w:p>
      <w:pPr>
        <w:spacing w:after="0"/>
        <w:ind w:left="0"/>
        <w:jc w:val="both"/>
      </w:pPr>
      <w:r>
        <w:rPr>
          <w:rFonts w:ascii="Times New Roman"/>
          <w:b w:val="false"/>
          <w:i w:val="false"/>
          <w:color w:val="000000"/>
          <w:sz w:val="28"/>
        </w:rPr>
        <w:t>
      23. Плата за доступность состоит из:</w:t>
      </w:r>
    </w:p>
    <w:bookmarkEnd w:id="377"/>
    <w:bookmarkStart w:name="z420" w:id="378"/>
    <w:p>
      <w:pPr>
        <w:spacing w:after="0"/>
        <w:ind w:left="0"/>
        <w:jc w:val="both"/>
      </w:pPr>
      <w:r>
        <w:rPr>
          <w:rFonts w:ascii="Times New Roman"/>
          <w:b w:val="false"/>
          <w:i w:val="false"/>
          <w:color w:val="000000"/>
          <w:sz w:val="28"/>
        </w:rPr>
        <w:t>
      суммы компенсации операционных затрат;</w:t>
      </w:r>
    </w:p>
    <w:bookmarkEnd w:id="378"/>
    <w:bookmarkStart w:name="z421" w:id="379"/>
    <w:p>
      <w:pPr>
        <w:spacing w:after="0"/>
        <w:ind w:left="0"/>
        <w:jc w:val="both"/>
      </w:pPr>
      <w:r>
        <w:rPr>
          <w:rFonts w:ascii="Times New Roman"/>
          <w:b w:val="false"/>
          <w:i w:val="false"/>
          <w:color w:val="000000"/>
          <w:sz w:val="28"/>
        </w:rPr>
        <w:t>
      суммы вознаграждения частному партнеру за обеспечение им качественных характеристик объекта ГЧП, а также доступности объекта ГЧП исходя из индивидуальных технико-экономических параметров объекта ГЧП.</w:t>
      </w:r>
    </w:p>
    <w:bookmarkEnd w:id="379"/>
    <w:bookmarkStart w:name="z422" w:id="380"/>
    <w:p>
      <w:pPr>
        <w:spacing w:after="0"/>
        <w:ind w:left="0"/>
        <w:jc w:val="both"/>
      </w:pPr>
      <w:r>
        <w:rPr>
          <w:rFonts w:ascii="Times New Roman"/>
          <w:b w:val="false"/>
          <w:i w:val="false"/>
          <w:color w:val="000000"/>
          <w:sz w:val="28"/>
        </w:rPr>
        <w:t xml:space="preserve">
      Совместно с платой за доступность возможно выделение других мер государственной поддержки и выплат из государственного бюджета,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настоящих Инструкций.</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ноября 2016 года № 480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планирования и</w:t>
            </w:r>
            <w:r>
              <w:br/>
            </w:r>
            <w:r>
              <w:rPr>
                <w:rFonts w:ascii="Times New Roman"/>
                <w:b w:val="false"/>
                <w:i w:val="false"/>
                <w:color w:val="000000"/>
                <w:sz w:val="20"/>
              </w:rPr>
              <w:t>реализации проектов</w:t>
            </w:r>
            <w:r>
              <w:br/>
            </w:r>
            <w:r>
              <w:rPr>
                <w:rFonts w:ascii="Times New Roman"/>
                <w:b w:val="false"/>
                <w:i w:val="false"/>
                <w:color w:val="000000"/>
                <w:sz w:val="20"/>
              </w:rPr>
              <w:t>государственно-частного</w:t>
            </w:r>
            <w:r>
              <w:br/>
            </w:r>
            <w:r>
              <w:rPr>
                <w:rFonts w:ascii="Times New Roman"/>
                <w:b w:val="false"/>
                <w:i w:val="false"/>
                <w:color w:val="000000"/>
                <w:sz w:val="20"/>
              </w:rPr>
              <w:t>партнерства</w:t>
            </w:r>
          </w:p>
        </w:tc>
      </w:tr>
    </w:tbl>
    <w:bookmarkStart w:name="z425" w:id="381"/>
    <w:p>
      <w:pPr>
        <w:spacing w:after="0"/>
        <w:ind w:left="0"/>
        <w:jc w:val="left"/>
      </w:pPr>
      <w:r>
        <w:rPr>
          <w:rFonts w:ascii="Times New Roman"/>
          <w:b/>
          <w:i w:val="false"/>
          <w:color w:val="000000"/>
        </w:rPr>
        <w:t xml:space="preserve"> Перечень документов, представляемых потенциальными частными партнерами в подтверждение их соответствия квалификационным требованиям:</w:t>
      </w:r>
    </w:p>
    <w:bookmarkEnd w:id="381"/>
    <w:bookmarkStart w:name="z426" w:id="382"/>
    <w:p>
      <w:pPr>
        <w:spacing w:after="0"/>
        <w:ind w:left="0"/>
        <w:jc w:val="both"/>
      </w:pPr>
      <w:r>
        <w:rPr>
          <w:rFonts w:ascii="Times New Roman"/>
          <w:b w:val="false"/>
          <w:i w:val="false"/>
          <w:color w:val="000000"/>
          <w:sz w:val="28"/>
        </w:rPr>
        <w:t>
      1) оригиналы или нотариально засвидетельствованные копии документов, подтверждающих наличие денег на счетах, права собственности потенциального частного партнера и стоимость на недвижимое и движимое имущество;</w:t>
      </w:r>
    </w:p>
    <w:bookmarkEnd w:id="382"/>
    <w:bookmarkStart w:name="z427" w:id="383"/>
    <w:p>
      <w:pPr>
        <w:spacing w:after="0"/>
        <w:ind w:left="0"/>
        <w:jc w:val="both"/>
      </w:pPr>
      <w:r>
        <w:rPr>
          <w:rFonts w:ascii="Times New Roman"/>
          <w:b w:val="false"/>
          <w:i w:val="false"/>
          <w:color w:val="000000"/>
          <w:sz w:val="28"/>
        </w:rPr>
        <w:t>
      2) оригинал финансовой отчетности за два полных предыдущих финансовых года, составленной в соответствии с законодательством Республики Казахстан о бухгалтерском учете и финансовой отчетности либо международными стандартами финансовой отчетности.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 требованиями законодательства Республики Казахстан о бухгалтерском учете и финансовой отчетности либо международными стандартами финансовой отчетности. В отношении проектов ГЧП особой значимости, если потенциальный частный партнер является новым юридическим лицом, учрежденным в целях реализации проекта ГЧП физическими и (или) юридическими лицами, такая документация представляется физическими и (или) юридическими лицами, выступающими учредителями такого потенциального частного партнера;</w:t>
      </w:r>
    </w:p>
    <w:bookmarkEnd w:id="383"/>
    <w:bookmarkStart w:name="z428" w:id="384"/>
    <w:p>
      <w:pPr>
        <w:spacing w:after="0"/>
        <w:ind w:left="0"/>
        <w:jc w:val="both"/>
      </w:pPr>
      <w:r>
        <w:rPr>
          <w:rFonts w:ascii="Times New Roman"/>
          <w:b w:val="false"/>
          <w:i w:val="false"/>
          <w:color w:val="000000"/>
          <w:sz w:val="28"/>
        </w:rPr>
        <w:t>
      3)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частного партнера и заверенные печатью потенциального частного партнера;</w:t>
      </w:r>
    </w:p>
    <w:bookmarkEnd w:id="384"/>
    <w:bookmarkStart w:name="z429" w:id="385"/>
    <w:p>
      <w:pPr>
        <w:spacing w:after="0"/>
        <w:ind w:left="0"/>
        <w:jc w:val="both"/>
      </w:pPr>
      <w:r>
        <w:rPr>
          <w:rFonts w:ascii="Times New Roman"/>
          <w:b w:val="false"/>
          <w:i w:val="false"/>
          <w:color w:val="000000"/>
          <w:sz w:val="28"/>
        </w:rPr>
        <w:t>
      4)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частного партнера и заверенные печатью потенциального частного партнера,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bookmarkEnd w:id="385"/>
    <w:bookmarkStart w:name="z430" w:id="386"/>
    <w:p>
      <w:pPr>
        <w:spacing w:after="0"/>
        <w:ind w:left="0"/>
        <w:jc w:val="both"/>
      </w:pPr>
      <w:r>
        <w:rPr>
          <w:rFonts w:ascii="Times New Roman"/>
          <w:b w:val="false"/>
          <w:i w:val="false"/>
          <w:color w:val="000000"/>
          <w:sz w:val="28"/>
        </w:rPr>
        <w:t>
      5) письмо-гарантия потенциального частного партнера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 что он не привлекался к ответственности за неисполнение или ненадлежащее исполнение им обязательств по заключенным договорам ГЧП в течение последних трех лет на основании решения суда, вступившего в законную силу;</w:t>
      </w:r>
    </w:p>
    <w:bookmarkEnd w:id="386"/>
    <w:bookmarkStart w:name="z431" w:id="387"/>
    <w:p>
      <w:pPr>
        <w:spacing w:after="0"/>
        <w:ind w:left="0"/>
        <w:jc w:val="both"/>
      </w:pPr>
      <w:r>
        <w:rPr>
          <w:rFonts w:ascii="Times New Roman"/>
          <w:b w:val="false"/>
          <w:i w:val="false"/>
          <w:color w:val="000000"/>
          <w:sz w:val="28"/>
        </w:rPr>
        <w:t>
      6)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bookmarkEnd w:id="387"/>
    <w:bookmarkStart w:name="z432" w:id="388"/>
    <w:p>
      <w:pPr>
        <w:spacing w:after="0"/>
        <w:ind w:left="0"/>
        <w:jc w:val="both"/>
      </w:pPr>
      <w:r>
        <w:rPr>
          <w:rFonts w:ascii="Times New Roman"/>
          <w:b w:val="false"/>
          <w:i w:val="false"/>
          <w:color w:val="000000"/>
          <w:sz w:val="28"/>
        </w:rPr>
        <w:t>
      7)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bookmarkEnd w:id="388"/>
    <w:bookmarkStart w:name="z433" w:id="389"/>
    <w:p>
      <w:pPr>
        <w:spacing w:after="0"/>
        <w:ind w:left="0"/>
        <w:jc w:val="both"/>
      </w:pPr>
      <w:r>
        <w:rPr>
          <w:rFonts w:ascii="Times New Roman"/>
          <w:b w:val="false"/>
          <w:i w:val="false"/>
          <w:color w:val="000000"/>
          <w:sz w:val="28"/>
        </w:rPr>
        <w:t>
      8) справка о зарегистрированном юридическом лице, филиале или представительстве;</w:t>
      </w:r>
    </w:p>
    <w:bookmarkEnd w:id="389"/>
    <w:bookmarkStart w:name="z434" w:id="390"/>
    <w:p>
      <w:pPr>
        <w:spacing w:after="0"/>
        <w:ind w:left="0"/>
        <w:jc w:val="both"/>
      </w:pPr>
      <w:r>
        <w:rPr>
          <w:rFonts w:ascii="Times New Roman"/>
          <w:b w:val="false"/>
          <w:i w:val="false"/>
          <w:color w:val="000000"/>
          <w:sz w:val="28"/>
        </w:rPr>
        <w:t>
      9) физическое лицо, осуществляющее предпринимательскую деятельность, предоставляет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нотариально засвидетельствованную копию удостоверения личности (паспорта) с указанием индивидуального идентификационного номера;</w:t>
      </w:r>
    </w:p>
    <w:bookmarkEnd w:id="390"/>
    <w:bookmarkStart w:name="z435" w:id="391"/>
    <w:p>
      <w:pPr>
        <w:spacing w:after="0"/>
        <w:ind w:left="0"/>
        <w:jc w:val="both"/>
      </w:pPr>
      <w:r>
        <w:rPr>
          <w:rFonts w:ascii="Times New Roman"/>
          <w:b w:val="false"/>
          <w:i w:val="false"/>
          <w:color w:val="000000"/>
          <w:sz w:val="28"/>
        </w:rPr>
        <w:t>
      10) оригинал справки банка или филиала банка с подписью и печатью, в котором обслуживается потенциальный частный партнер, об отсутствии просроченной задолженности по всем видам обязательств потенциального частного партнера,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Если потенциальный частный партнер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bookmarkEnd w:id="391"/>
    <w:bookmarkStart w:name="z436" w:id="392"/>
    <w:p>
      <w:pPr>
        <w:spacing w:after="0"/>
        <w:ind w:left="0"/>
        <w:jc w:val="both"/>
      </w:pPr>
      <w:r>
        <w:rPr>
          <w:rFonts w:ascii="Times New Roman"/>
          <w:b w:val="false"/>
          <w:i w:val="false"/>
          <w:color w:val="000000"/>
          <w:sz w:val="28"/>
        </w:rPr>
        <w:t xml:space="preserve">
      Допускается предоставление кредитного отчета, предоставляемого кредитным бюро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w:t>
      </w:r>
    </w:p>
    <w:bookmarkEnd w:id="392"/>
    <w:bookmarkStart w:name="z437" w:id="393"/>
    <w:p>
      <w:pPr>
        <w:spacing w:after="0"/>
        <w:ind w:left="0"/>
        <w:jc w:val="both"/>
      </w:pPr>
      <w:r>
        <w:rPr>
          <w:rFonts w:ascii="Times New Roman"/>
          <w:b w:val="false"/>
          <w:i w:val="false"/>
          <w:color w:val="000000"/>
          <w:sz w:val="28"/>
        </w:rPr>
        <w:t>
      Справка банка (либо кредитный отчет) выдается не ранее двух месяцев, предшествующих дате представления организатору конкурса документов.</w:t>
      </w:r>
    </w:p>
    <w:bookmarkEnd w:id="393"/>
    <w:bookmarkStart w:name="z438" w:id="394"/>
    <w:p>
      <w:pPr>
        <w:spacing w:after="0"/>
        <w:ind w:left="0"/>
        <w:jc w:val="both"/>
      </w:pPr>
      <w:r>
        <w:rPr>
          <w:rFonts w:ascii="Times New Roman"/>
          <w:b w:val="false"/>
          <w:i w:val="false"/>
          <w:color w:val="000000"/>
          <w:sz w:val="28"/>
        </w:rPr>
        <w:t>
      В случае участия в конкурсе объединений физических и (или) юридических лиц в форме простого товарищества, его участники, помимо документов, установленных настоящими Правилами для подтверждения своих квалификационных требований, дополнительно представляют следующие документы:</w:t>
      </w:r>
    </w:p>
    <w:bookmarkEnd w:id="394"/>
    <w:bookmarkStart w:name="z439" w:id="395"/>
    <w:p>
      <w:pPr>
        <w:spacing w:after="0"/>
        <w:ind w:left="0"/>
        <w:jc w:val="both"/>
      </w:pPr>
      <w:r>
        <w:rPr>
          <w:rFonts w:ascii="Times New Roman"/>
          <w:b w:val="false"/>
          <w:i w:val="false"/>
          <w:color w:val="000000"/>
          <w:sz w:val="28"/>
        </w:rPr>
        <w:t>
      нотариально засвидетельствованную копию договора о совместной деятельности;</w:t>
      </w:r>
    </w:p>
    <w:bookmarkEnd w:id="395"/>
    <w:bookmarkStart w:name="z440" w:id="396"/>
    <w:p>
      <w:pPr>
        <w:spacing w:after="0"/>
        <w:ind w:left="0"/>
        <w:jc w:val="both"/>
      </w:pPr>
      <w:r>
        <w:rPr>
          <w:rFonts w:ascii="Times New Roman"/>
          <w:b w:val="false"/>
          <w:i w:val="false"/>
          <w:color w:val="000000"/>
          <w:sz w:val="28"/>
        </w:rPr>
        <w:t>
      нотариально засвидетельствованную копию договора о солидарной ответственности, заключенного между членами простого товарищества;</w:t>
      </w:r>
    </w:p>
    <w:bookmarkEnd w:id="396"/>
    <w:bookmarkStart w:name="z441" w:id="397"/>
    <w:p>
      <w:pPr>
        <w:spacing w:after="0"/>
        <w:ind w:left="0"/>
        <w:jc w:val="both"/>
      </w:pPr>
      <w:r>
        <w:rPr>
          <w:rFonts w:ascii="Times New Roman"/>
          <w:b w:val="false"/>
          <w:i w:val="false"/>
          <w:color w:val="000000"/>
          <w:sz w:val="28"/>
        </w:rPr>
        <w:t>
      нотариально засвидетельствованную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p>
    <w:bookmarkEnd w:id="397"/>
    <w:bookmarkStart w:name="z442" w:id="398"/>
    <w:p>
      <w:pPr>
        <w:spacing w:after="0"/>
        <w:ind w:left="0"/>
        <w:jc w:val="both"/>
      </w:pPr>
      <w:r>
        <w:rPr>
          <w:rFonts w:ascii="Times New Roman"/>
          <w:b w:val="false"/>
          <w:i w:val="false"/>
          <w:color w:val="000000"/>
          <w:sz w:val="28"/>
        </w:rPr>
        <w:t>
      Потенциальные частные партнеры предоставляют по своему усмотрению и иные документы, подтверждающие их соответствия квалификационным требованиям.</w:t>
      </w:r>
    </w:p>
    <w:bookmarkEnd w:id="398"/>
    <w:bookmarkStart w:name="z443" w:id="399"/>
    <w:p>
      <w:pPr>
        <w:spacing w:after="0"/>
        <w:ind w:left="0"/>
        <w:jc w:val="both"/>
      </w:pPr>
      <w:r>
        <w:rPr>
          <w:rFonts w:ascii="Times New Roman"/>
          <w:b w:val="false"/>
          <w:i w:val="false"/>
          <w:color w:val="000000"/>
          <w:sz w:val="28"/>
        </w:rPr>
        <w:t>
      Потенциальный частный партнер-нерезидент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частного партнера-нерезидента Республики Казахстан с нотариально засвидетельствованным переводом на языки конкурсной документации, а также апостилированный сертификат резидентства (если международным договором не предусмотрено иное).</w:t>
      </w:r>
    </w:p>
    <w:bookmarkEnd w:id="399"/>
    <w:bookmarkStart w:name="z444" w:id="400"/>
    <w:p>
      <w:pPr>
        <w:spacing w:after="0"/>
        <w:ind w:left="0"/>
        <w:jc w:val="both"/>
      </w:pPr>
      <w:r>
        <w:rPr>
          <w:rFonts w:ascii="Times New Roman"/>
          <w:b w:val="false"/>
          <w:i w:val="false"/>
          <w:color w:val="000000"/>
          <w:sz w:val="28"/>
        </w:rPr>
        <w:t>
      В случае, когда объектом ГЧП выступают информационные ресурсы и (или) информационные системы потенциальный частный партнер представляет документы о праве собственности и (или) владения на информационные ресурсы и (или) информационные системы.</w:t>
      </w:r>
    </w:p>
    <w:bookmarkEnd w:id="4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