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ddace" w14:textId="84dda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исполняющего обязанности Министра национальной экономики Республики Казахстан от 24 ноября 2015 года № 710 "Об утверждении Особого порядка регулирования деятельности субъектов естественных монополий, привлекающих займы международных финансовых организаций и входящих в перечень субъектов естественных монополий, привлекающих займы международных финансовых организаций"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6 декабря 2016 года № 499. Зарегистрирован в Министерстве юстиции Республики Казахстан 25 января 2017 года № 14720. Утратил силу приказом Министра национальной экономики Республики Казахстан от 6 ноября 2020 года № 85.</w:t>
      </w:r>
    </w:p>
    <w:p>
      <w:pPr>
        <w:spacing w:after="0"/>
        <w:ind w:left="0"/>
        <w:jc w:val="both"/>
      </w:pPr>
      <w:bookmarkStart w:name="z13" w:id="0"/>
      <w:r>
        <w:rPr>
          <w:rFonts w:ascii="Times New Roman"/>
          <w:b w:val="false"/>
          <w:i w:val="false"/>
          <w:color w:val="ff0000"/>
          <w:sz w:val="28"/>
        </w:rPr>
        <w:t xml:space="preserve">
      Сноска. Утратил силу приказом Министра национальной экономики РК от 06.11.2020 </w:t>
      </w:r>
      <w:r>
        <w:rPr>
          <w:rFonts w:ascii="Times New Roman"/>
          <w:b w:val="false"/>
          <w:i w:val="false"/>
          <w:color w:val="ff0000"/>
          <w:sz w:val="28"/>
        </w:rPr>
        <w:t>№ 85</w:t>
      </w:r>
      <w:r>
        <w:rPr>
          <w:rFonts w:ascii="Times New Roman"/>
          <w:b w:val="false"/>
          <w:i w:val="false"/>
          <w:color w:val="ff0000"/>
          <w:sz w:val="28"/>
        </w:rPr>
        <w:t xml:space="preserve">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p>
    <w:bookmarkEnd w:id="0"/>
    <w:bookmarkStart w:name="z4" w:id="1"/>
    <w:p>
      <w:pPr>
        <w:spacing w:after="0"/>
        <w:ind w:left="0"/>
        <w:jc w:val="both"/>
      </w:pPr>
      <w:r>
        <w:rPr>
          <w:rFonts w:ascii="Times New Roman"/>
          <w:b w:val="false"/>
          <w:i w:val="false"/>
          <w:color w:val="000000"/>
          <w:sz w:val="28"/>
        </w:rPr>
        <w:t xml:space="preserve">
      </w:t>
      </w:r>
      <w:r>
        <w:rPr>
          <w:rFonts w:ascii="Times New Roman"/>
          <w:b/>
          <w:i w:val="false"/>
          <w:color w:val="000000"/>
          <w:sz w:val="28"/>
        </w:rPr>
        <w:t>ПРИКАЗЫВАЮ:</w:t>
      </w:r>
    </w:p>
    <w:bookmarkEnd w:id="1"/>
    <w:bookmarkStart w:name="z5" w:id="2"/>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национальной экономики Республики Казахстан от 24 ноября 2015 года № 710 "Об утверждении Особого порядка регулирования деятельности субъектов естественных монополий, привлекающих займы международных финансовых организаций и входящих в перечень субъектов естественных монополий, привлекающих займы международных финансовых организаций" (зарегистрированный в Реестре государственной регистрации нормативных правовых актов за № 12506, опубликованный в информационно-правовой системе "Әділет" 31 декабря 2015 года) следующие изменения:</w:t>
      </w:r>
    </w:p>
    <w:bookmarkEnd w:id="2"/>
    <w:bookmarkStart w:name="z6"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Особом порядке</w:t>
      </w:r>
      <w:r>
        <w:rPr>
          <w:rFonts w:ascii="Times New Roman"/>
          <w:b w:val="false"/>
          <w:i w:val="false"/>
          <w:color w:val="000000"/>
          <w:sz w:val="28"/>
        </w:rPr>
        <w:t xml:space="preserve"> регулирования деятельности субъектов естественных монополий, привлекающих займы международных финансовых организаций и входящих в перечень субъектов естественных монополий, привлекающих займы международных финансовых организаций (далее – Особый порядок), утвержденном указанным приказом:</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8" w:id="4"/>
    <w:p>
      <w:pPr>
        <w:spacing w:after="0"/>
        <w:ind w:left="0"/>
        <w:jc w:val="both"/>
      </w:pPr>
      <w:r>
        <w:rPr>
          <w:rFonts w:ascii="Times New Roman"/>
          <w:b w:val="false"/>
          <w:i w:val="false"/>
          <w:color w:val="000000"/>
          <w:sz w:val="28"/>
        </w:rPr>
        <w:t>
      "4. В Особом порядке используются следующие понятия:</w:t>
      </w:r>
    </w:p>
    <w:bookmarkEnd w:id="4"/>
    <w:bookmarkStart w:name="z9" w:id="5"/>
    <w:p>
      <w:pPr>
        <w:spacing w:after="0"/>
        <w:ind w:left="0"/>
        <w:jc w:val="both"/>
      </w:pPr>
      <w:r>
        <w:rPr>
          <w:rFonts w:ascii="Times New Roman"/>
          <w:b w:val="false"/>
          <w:i w:val="false"/>
          <w:color w:val="000000"/>
          <w:sz w:val="28"/>
        </w:rPr>
        <w:t>
      1) переменная часть прибыли – это часть прибыли, не превышающая 30 % от прибыли, включенной в тариф, формируемая с учетом критериев качества, надежности и эффективности регулируемых услуг;</w:t>
      </w:r>
    </w:p>
    <w:bookmarkEnd w:id="5"/>
    <w:bookmarkStart w:name="z10" w:id="6"/>
    <w:p>
      <w:pPr>
        <w:spacing w:after="0"/>
        <w:ind w:left="0"/>
        <w:jc w:val="both"/>
      </w:pPr>
      <w:r>
        <w:rPr>
          <w:rFonts w:ascii="Times New Roman"/>
          <w:b w:val="false"/>
          <w:i w:val="false"/>
          <w:color w:val="000000"/>
          <w:sz w:val="28"/>
        </w:rPr>
        <w:t xml:space="preserve">
      2) двуставочный тариф – тариф, состоящий из тарифа за потребление и тарифа за содержание системы оказания услуг; </w:t>
      </w:r>
    </w:p>
    <w:bookmarkEnd w:id="6"/>
    <w:bookmarkStart w:name="z11" w:id="7"/>
    <w:p>
      <w:pPr>
        <w:spacing w:after="0"/>
        <w:ind w:left="0"/>
        <w:jc w:val="both"/>
      </w:pPr>
      <w:r>
        <w:rPr>
          <w:rFonts w:ascii="Times New Roman"/>
          <w:b w:val="false"/>
          <w:i w:val="false"/>
          <w:color w:val="000000"/>
          <w:sz w:val="28"/>
        </w:rPr>
        <w:t>
      3) компетентный орган – государственный орган, осуществляющий руководство соответствующей отраслью (сферой) государственного управления, а также местный исполнительный орган, осуществляющий согласование инвестиционной программы (проекта) Субъекта, оказывающего регулируемые услуги на соответствующей территории административно-территориальной единицы, включенного в местный раздел Государственного регистра субъектов естественных монополий;</w:t>
      </w:r>
    </w:p>
    <w:bookmarkEnd w:id="7"/>
    <w:bookmarkStart w:name="z12" w:id="8"/>
    <w:p>
      <w:pPr>
        <w:spacing w:after="0"/>
        <w:ind w:left="0"/>
        <w:jc w:val="both"/>
      </w:pPr>
      <w:r>
        <w:rPr>
          <w:rFonts w:ascii="Times New Roman"/>
          <w:b w:val="false"/>
          <w:i w:val="false"/>
          <w:color w:val="000000"/>
          <w:sz w:val="28"/>
        </w:rPr>
        <w:t>
      4) ведомство уполномоченного органа – ведомство государственного органа, осуществляющего руководство в сферах естественных монополий и на регулируемых рынках;</w:t>
      </w:r>
    </w:p>
    <w:bookmarkEnd w:id="8"/>
    <w:bookmarkStart w:name="z13" w:id="9"/>
    <w:p>
      <w:pPr>
        <w:spacing w:after="0"/>
        <w:ind w:left="0"/>
        <w:jc w:val="both"/>
      </w:pPr>
      <w:r>
        <w:rPr>
          <w:rFonts w:ascii="Times New Roman"/>
          <w:b w:val="false"/>
          <w:i w:val="false"/>
          <w:color w:val="000000"/>
          <w:sz w:val="28"/>
        </w:rPr>
        <w:t>
      5) уполномоченный орган – государственный орган, осуществляющий руководство в сферах естественных монополий и на регулируемых рынках;</w:t>
      </w:r>
    </w:p>
    <w:bookmarkEnd w:id="9"/>
    <w:bookmarkStart w:name="z14" w:id="10"/>
    <w:p>
      <w:pPr>
        <w:spacing w:after="0"/>
        <w:ind w:left="0"/>
        <w:jc w:val="both"/>
      </w:pPr>
      <w:r>
        <w:rPr>
          <w:rFonts w:ascii="Times New Roman"/>
          <w:b w:val="false"/>
          <w:i w:val="false"/>
          <w:color w:val="000000"/>
          <w:sz w:val="28"/>
        </w:rPr>
        <w:t>
      6) займы международных финансовых организаций – займы, выданные международными финансовыми организациями, на основании договора займа либо в виде векселей, облигаций, других ценных бумаг и иных денежных обязательств международных финансовых организаций.";</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6 изложить в следующей редакции:</w:t>
      </w:r>
    </w:p>
    <w:bookmarkStart w:name="z16" w:id="11"/>
    <w:p>
      <w:pPr>
        <w:spacing w:after="0"/>
        <w:ind w:left="0"/>
        <w:jc w:val="both"/>
      </w:pPr>
      <w:r>
        <w:rPr>
          <w:rFonts w:ascii="Times New Roman"/>
          <w:b w:val="false"/>
          <w:i w:val="false"/>
          <w:color w:val="000000"/>
          <w:sz w:val="28"/>
        </w:rPr>
        <w:t>
      "4) фактических данных о затратах за предыдущий год, с приложением сведений об исполнении тарифной сметы на регулируемые услуги за соответствующий период по форме, согласно приложению 1 к Правилам утверждения предельного уровня тарифов, обосновывающих материалов и расшифровок по каждой статье тарифной сметы;";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11 изложить в следующей редакции:</w:t>
      </w:r>
    </w:p>
    <w:bookmarkStart w:name="z18" w:id="12"/>
    <w:p>
      <w:pPr>
        <w:spacing w:after="0"/>
        <w:ind w:left="0"/>
        <w:jc w:val="both"/>
      </w:pPr>
      <w:r>
        <w:rPr>
          <w:rFonts w:ascii="Times New Roman"/>
          <w:b w:val="false"/>
          <w:i w:val="false"/>
          <w:color w:val="000000"/>
          <w:sz w:val="28"/>
        </w:rPr>
        <w:t>
      "1) на основе фактического исполнения тарифной сметы за предшествующий год;";</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и </w:t>
      </w:r>
      <w:r>
        <w:rPr>
          <w:rFonts w:ascii="Times New Roman"/>
          <w:b w:val="false"/>
          <w:i w:val="false"/>
          <w:color w:val="000000"/>
          <w:sz w:val="28"/>
        </w:rPr>
        <w:t>37</w:t>
      </w:r>
      <w:r>
        <w:rPr>
          <w:rFonts w:ascii="Times New Roman"/>
          <w:b w:val="false"/>
          <w:i w:val="false"/>
          <w:color w:val="000000"/>
          <w:sz w:val="28"/>
        </w:rPr>
        <w:t xml:space="preserve"> изложить в следующей редакции:</w:t>
      </w:r>
    </w:p>
    <w:bookmarkStart w:name="z20" w:id="13"/>
    <w:p>
      <w:pPr>
        <w:spacing w:after="0"/>
        <w:ind w:left="0"/>
        <w:jc w:val="both"/>
      </w:pPr>
      <w:r>
        <w:rPr>
          <w:rFonts w:ascii="Times New Roman"/>
          <w:b w:val="false"/>
          <w:i w:val="false"/>
          <w:color w:val="000000"/>
          <w:sz w:val="28"/>
        </w:rPr>
        <w:t>
      "35. В случаях соответствующего увеличения или уменьшения стоимости стратегических товаров, включая стоимости транспортировки товаров, увеличения или уменьшения объема оказываемых регулируемых услуг, но не чаще одного раза в год, Субъект направляет в ведомство уполномоченного органа извещение в произвольной форме о предстоящем повышении либо снижении предельного уровня тарифа (цены, ставки сбора) с указанием даты и с приложением обосновывающих материалов не позднее, чем за тридцать календарных дней до даты повышения предельного уровня тарифа (цены, ставки сбора).</w:t>
      </w:r>
    </w:p>
    <w:bookmarkEnd w:id="13"/>
    <w:bookmarkStart w:name="z21" w:id="14"/>
    <w:p>
      <w:pPr>
        <w:spacing w:after="0"/>
        <w:ind w:left="0"/>
        <w:jc w:val="both"/>
      </w:pPr>
      <w:r>
        <w:rPr>
          <w:rFonts w:ascii="Times New Roman"/>
          <w:b w:val="false"/>
          <w:i w:val="false"/>
          <w:color w:val="000000"/>
          <w:sz w:val="28"/>
        </w:rPr>
        <w:t>
      36. Ведомство уполномоченного органа в течение двадцати календарных дней со дня получения извещения Субъекта, рассматривает извещение и прилагаемые обосновывающие материалы.</w:t>
      </w:r>
    </w:p>
    <w:bookmarkEnd w:id="14"/>
    <w:bookmarkStart w:name="z22" w:id="15"/>
    <w:p>
      <w:pPr>
        <w:spacing w:after="0"/>
        <w:ind w:left="0"/>
        <w:jc w:val="both"/>
      </w:pPr>
      <w:r>
        <w:rPr>
          <w:rFonts w:ascii="Times New Roman"/>
          <w:b w:val="false"/>
          <w:i w:val="false"/>
          <w:color w:val="000000"/>
          <w:sz w:val="28"/>
        </w:rPr>
        <w:t>
      Решение ведомства уполномоченного органа о снижении или повышения предельного уровня тарифа (цены, ставки сбора) на регулируемые услуги Субъекта, принимается в форме приказа с указанием даты введения предельного уровня тарифа.</w:t>
      </w:r>
    </w:p>
    <w:bookmarkEnd w:id="15"/>
    <w:bookmarkStart w:name="z23" w:id="16"/>
    <w:p>
      <w:pPr>
        <w:spacing w:after="0"/>
        <w:ind w:left="0"/>
        <w:jc w:val="both"/>
      </w:pPr>
      <w:r>
        <w:rPr>
          <w:rFonts w:ascii="Times New Roman"/>
          <w:b w:val="false"/>
          <w:i w:val="false"/>
          <w:color w:val="000000"/>
          <w:sz w:val="28"/>
        </w:rPr>
        <w:t>
      При этом, в случае необоснованного повышения уровня тарифа (цены, ставки сбора) или непредставления обосновывающих материалов, направляет Субъекту мотивированный отказ в повышении предельного уровня тарифа (цены, ставки сбора).</w:t>
      </w:r>
    </w:p>
    <w:bookmarkEnd w:id="16"/>
    <w:bookmarkStart w:name="z24" w:id="17"/>
    <w:p>
      <w:pPr>
        <w:spacing w:after="0"/>
        <w:ind w:left="0"/>
        <w:jc w:val="both"/>
      </w:pPr>
      <w:r>
        <w:rPr>
          <w:rFonts w:ascii="Times New Roman"/>
          <w:b w:val="false"/>
          <w:i w:val="false"/>
          <w:color w:val="000000"/>
          <w:sz w:val="28"/>
        </w:rPr>
        <w:t xml:space="preserve">
      37. В случае, если Субъект не обратился в ведомство уполномоченного органа о снижении предельного уровня тарифа в результате снижения стоимости стратегических товаров, включая стоимости транспортировки товаров, увеличения объема оказываемых регулируемых услуг, ведомство уполномоченного органа по итогам анализа отчета об исполнении тарифной сметы вводит временный компенсирующий тариф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по утверждению временного компенсирующего тарифа, утвержденными приказом Председателя Агентства Республики Казахстан по регулированию естественных монополий от 16 апреля 2013 года №115-ОД (зарегистрированными в Реестре государственной регистрации нормативных правовых актов за № 8472.)";</w:t>
      </w:r>
    </w:p>
    <w:bookmarkEnd w:id="17"/>
    <w:bookmarkStart w:name="z25" w:id="18"/>
    <w:p>
      <w:pPr>
        <w:spacing w:after="0"/>
        <w:ind w:left="0"/>
        <w:jc w:val="both"/>
      </w:pPr>
      <w:r>
        <w:rPr>
          <w:rFonts w:ascii="Times New Roman"/>
          <w:b w:val="false"/>
          <w:i w:val="false"/>
          <w:color w:val="000000"/>
          <w:sz w:val="28"/>
        </w:rPr>
        <w:t>
      пункт 38 исключить;</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39</w:t>
      </w:r>
      <w:r>
        <w:rPr>
          <w:rFonts w:ascii="Times New Roman"/>
          <w:b w:val="false"/>
          <w:i w:val="false"/>
          <w:color w:val="000000"/>
          <w:sz w:val="28"/>
        </w:rPr>
        <w:t xml:space="preserve"> изложить в следующей редакции:</w:t>
      </w:r>
    </w:p>
    <w:bookmarkStart w:name="z27" w:id="19"/>
    <w:p>
      <w:pPr>
        <w:spacing w:after="0"/>
        <w:ind w:left="0"/>
        <w:jc w:val="both"/>
      </w:pPr>
      <w:r>
        <w:rPr>
          <w:rFonts w:ascii="Times New Roman"/>
          <w:b w:val="false"/>
          <w:i w:val="false"/>
          <w:color w:val="000000"/>
          <w:sz w:val="28"/>
        </w:rPr>
        <w:t>
      "39. Субъект на основании полученного решения об утверждении предельного уровня тарифа вводит в действие предельный уровень тарифа (цены, ставки сбора) с даты, указанной в приказе.";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43</w:t>
      </w:r>
      <w:r>
        <w:rPr>
          <w:rFonts w:ascii="Times New Roman"/>
          <w:b w:val="false"/>
          <w:i w:val="false"/>
          <w:color w:val="000000"/>
          <w:sz w:val="28"/>
        </w:rPr>
        <w:t xml:space="preserve"> изложить в следующей редакции:</w:t>
      </w:r>
    </w:p>
    <w:bookmarkStart w:name="z29" w:id="20"/>
    <w:p>
      <w:pPr>
        <w:spacing w:after="0"/>
        <w:ind w:left="0"/>
        <w:jc w:val="both"/>
      </w:pPr>
      <w:r>
        <w:rPr>
          <w:rFonts w:ascii="Times New Roman"/>
          <w:b w:val="false"/>
          <w:i w:val="false"/>
          <w:color w:val="000000"/>
          <w:sz w:val="28"/>
        </w:rPr>
        <w:t>
      "43. Субъект доводит до сведения ведомства уполномоченного органа и потребителей информацию об изменении предельного уровня тарифа (цены, ставки сбора) не позднее, чем за семь календарных дней до введения его в действие.";</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55</w:t>
      </w:r>
      <w:r>
        <w:rPr>
          <w:rFonts w:ascii="Times New Roman"/>
          <w:b w:val="false"/>
          <w:i w:val="false"/>
          <w:color w:val="000000"/>
          <w:sz w:val="28"/>
        </w:rPr>
        <w:t xml:space="preserve"> и </w:t>
      </w:r>
      <w:r>
        <w:rPr>
          <w:rFonts w:ascii="Times New Roman"/>
          <w:b w:val="false"/>
          <w:i w:val="false"/>
          <w:color w:val="000000"/>
          <w:sz w:val="28"/>
        </w:rPr>
        <w:t>56</w:t>
      </w:r>
      <w:r>
        <w:rPr>
          <w:rFonts w:ascii="Times New Roman"/>
          <w:b w:val="false"/>
          <w:i w:val="false"/>
          <w:color w:val="000000"/>
          <w:sz w:val="28"/>
        </w:rPr>
        <w:t xml:space="preserve"> изложить в следующей редакции:</w:t>
      </w:r>
    </w:p>
    <w:bookmarkStart w:name="z31" w:id="21"/>
    <w:p>
      <w:pPr>
        <w:spacing w:after="0"/>
        <w:ind w:left="0"/>
        <w:jc w:val="both"/>
      </w:pPr>
      <w:r>
        <w:rPr>
          <w:rFonts w:ascii="Times New Roman"/>
          <w:b w:val="false"/>
          <w:i w:val="false"/>
          <w:color w:val="000000"/>
          <w:sz w:val="28"/>
        </w:rPr>
        <w:t xml:space="preserve">
      "55. Затратная часть тарифа (цены, ставки сбора) Субъекта формируется на основании фактических затрат Субъекта за последний год, принятых в соответствии с </w:t>
      </w:r>
      <w:r>
        <w:rPr>
          <w:rFonts w:ascii="Times New Roman"/>
          <w:b w:val="false"/>
          <w:i w:val="false"/>
          <w:color w:val="000000"/>
          <w:sz w:val="28"/>
        </w:rPr>
        <w:t>Особым порядком</w:t>
      </w:r>
      <w:r>
        <w:rPr>
          <w:rFonts w:ascii="Times New Roman"/>
          <w:b w:val="false"/>
          <w:i w:val="false"/>
          <w:color w:val="000000"/>
          <w:sz w:val="28"/>
        </w:rPr>
        <w:t xml:space="preserve"> формирования затрат, применяемом при утверждении тарифов (цен, ставок сборов) на регулируемые услуги (товары, работы) субъектов естественных монополий утвержденным приказом Председателя Агентства Республики Казахстан по регулированию естественных монополий от 25 апреля 2013 года № 130-ОД (зарегистрированный в Реестре государственной регистрации нормативных правовых актов за № 8480 опубликованный в газете "Казахстанская правда" от 23 октября 2013 года № 299 (27573)) с учетом показателей прогноза социально-экономического развития Республики Казахстан (инфляция).";</w:t>
      </w:r>
    </w:p>
    <w:bookmarkEnd w:id="21"/>
    <w:bookmarkStart w:name="z32" w:id="22"/>
    <w:p>
      <w:pPr>
        <w:spacing w:after="0"/>
        <w:ind w:left="0"/>
        <w:jc w:val="both"/>
      </w:pPr>
      <w:r>
        <w:rPr>
          <w:rFonts w:ascii="Times New Roman"/>
          <w:b w:val="false"/>
          <w:i w:val="false"/>
          <w:color w:val="000000"/>
          <w:sz w:val="28"/>
        </w:rPr>
        <w:t>
      56. В случае, если Субъект оказывает регулируемые услуги менее одного года, то его затраты определяются по результатам сравнительного анализа затрат субъектов естественных монополий, оказывающих аналогичные регулируемые услуги на сопоставимом товарном рынке, за период не менее одного года.";</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72</w:t>
      </w:r>
      <w:r>
        <w:rPr>
          <w:rFonts w:ascii="Times New Roman"/>
          <w:b w:val="false"/>
          <w:i w:val="false"/>
          <w:color w:val="000000"/>
          <w:sz w:val="28"/>
        </w:rPr>
        <w:t xml:space="preserve"> изложить в следующей редакции:</w:t>
      </w:r>
    </w:p>
    <w:bookmarkStart w:name="z34" w:id="23"/>
    <w:p>
      <w:pPr>
        <w:spacing w:after="0"/>
        <w:ind w:left="0"/>
        <w:jc w:val="both"/>
      </w:pPr>
      <w:r>
        <w:rPr>
          <w:rFonts w:ascii="Times New Roman"/>
          <w:b w:val="false"/>
          <w:i w:val="false"/>
          <w:color w:val="000000"/>
          <w:sz w:val="28"/>
        </w:rPr>
        <w:t>
      "72. Значения безрисковой ставки доходности премии за риск инвестирования в капитал и бета-коэффициент для соответствующей отрасли (без учета долговой нагрузки) устанавливаются ежегодно ведомством уполномоченного органа на следующий год.";</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к указанному приказу изложить в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36" w:id="24"/>
    <w:p>
      <w:pPr>
        <w:spacing w:after="0"/>
        <w:ind w:left="0"/>
        <w:jc w:val="both"/>
      </w:pPr>
      <w:r>
        <w:rPr>
          <w:rFonts w:ascii="Times New Roman"/>
          <w:b w:val="false"/>
          <w:i w:val="false"/>
          <w:color w:val="000000"/>
          <w:sz w:val="28"/>
        </w:rPr>
        <w:t>
      2. Комитету по регулированию естественных монополий и защите конкуренции Министерства национальной экономики Республики Казахстан обеспечить в установленном законодательством Республики Казахстан порядке:</w:t>
      </w:r>
    </w:p>
    <w:bookmarkEnd w:id="24"/>
    <w:bookmarkStart w:name="z37" w:id="2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25"/>
    <w:bookmarkStart w:name="z38" w:id="26"/>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печатном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26"/>
    <w:bookmarkStart w:name="z39" w:id="27"/>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bookmarkEnd w:id="27"/>
    <w:bookmarkStart w:name="z40" w:id="28"/>
    <w:p>
      <w:pPr>
        <w:spacing w:after="0"/>
        <w:ind w:left="0"/>
        <w:jc w:val="both"/>
      </w:pPr>
      <w:r>
        <w:rPr>
          <w:rFonts w:ascii="Times New Roman"/>
          <w:b w:val="false"/>
          <w:i w:val="false"/>
          <w:color w:val="000000"/>
          <w:sz w:val="28"/>
        </w:rPr>
        <w:t>
      4) в течение десяти рабочих дней со дня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 предусмотренных подпунктами 1), 2) и 3) настоящего пункта.</w:t>
      </w:r>
    </w:p>
    <w:bookmarkEnd w:id="28"/>
    <w:bookmarkStart w:name="z41" w:id="29"/>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национальной экономики Республики Казахстан.</w:t>
      </w:r>
    </w:p>
    <w:bookmarkEnd w:id="29"/>
    <w:bookmarkStart w:name="z42" w:id="30"/>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3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 национальной экономики</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Бишимбаев</w:t>
            </w:r>
            <w:r>
              <w:rPr>
                <w:rFonts w:ascii="Times New Roman"/>
                <w:b w:val="false"/>
                <w:i w:val="false"/>
                <w:color w:val="000000"/>
                <w:sz w:val="20"/>
              </w:rPr>
              <w:t>
</w:t>
            </w:r>
          </w:p>
        </w:tc>
      </w:tr>
    </w:tbl>
    <w:bookmarkStart w:name="z45" w:id="31"/>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Заместитель Премьер-Министра</w:t>
      </w:r>
      <w:r>
        <w:br/>
      </w:r>
      <w:r>
        <w:rPr>
          <w:rFonts w:ascii="Times New Roman"/>
          <w:b w:val="false"/>
          <w:i w:val="false"/>
          <w:color w:val="000000"/>
          <w:sz w:val="28"/>
        </w:rPr>
        <w:t>Республики Казахстан –</w:t>
      </w:r>
      <w:r>
        <w:br/>
      </w:r>
      <w:r>
        <w:rPr>
          <w:rFonts w:ascii="Times New Roman"/>
          <w:b w:val="false"/>
          <w:i w:val="false"/>
          <w:color w:val="000000"/>
          <w:sz w:val="28"/>
        </w:rPr>
        <w:t>Министр сельского хозяйства</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______________А. Мырзахметов</w:t>
      </w:r>
      <w:r>
        <w:br/>
      </w:r>
      <w:r>
        <w:rPr>
          <w:rFonts w:ascii="Times New Roman"/>
          <w:b w:val="false"/>
          <w:i w:val="false"/>
          <w:color w:val="000000"/>
          <w:sz w:val="28"/>
        </w:rPr>
        <w:t>от 26 декабря 2016 года</w:t>
      </w:r>
    </w:p>
    <w:bookmarkEnd w:id="31"/>
    <w:bookmarkStart w:name="z46" w:id="32"/>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 по инвестициям</w:t>
      </w:r>
      <w:r>
        <w:br/>
      </w:r>
      <w:r>
        <w:rPr>
          <w:rFonts w:ascii="Times New Roman"/>
          <w:b w:val="false"/>
          <w:i w:val="false"/>
          <w:color w:val="000000"/>
          <w:sz w:val="28"/>
        </w:rPr>
        <w:t>и развитию Республики Казахстан</w:t>
      </w:r>
      <w:r>
        <w:br/>
      </w:r>
      <w:r>
        <w:rPr>
          <w:rFonts w:ascii="Times New Roman"/>
          <w:b w:val="false"/>
          <w:i w:val="false"/>
          <w:color w:val="000000"/>
          <w:sz w:val="28"/>
        </w:rPr>
        <w:t>______________Ж. Касымбек</w:t>
      </w:r>
      <w:r>
        <w:br/>
      </w:r>
      <w:r>
        <w:rPr>
          <w:rFonts w:ascii="Times New Roman"/>
          <w:b w:val="false"/>
          <w:i w:val="false"/>
          <w:color w:val="000000"/>
          <w:sz w:val="28"/>
        </w:rPr>
        <w:t>от 23 декабря 2016 года</w:t>
      </w:r>
    </w:p>
    <w:bookmarkEnd w:id="32"/>
    <w:bookmarkStart w:name="z47" w:id="33"/>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исполняющий обязанности</w:t>
      </w:r>
      <w:r>
        <w:br/>
      </w:r>
      <w:r>
        <w:rPr>
          <w:rFonts w:ascii="Times New Roman"/>
          <w:b w:val="false"/>
          <w:i w:val="false"/>
          <w:color w:val="000000"/>
          <w:sz w:val="28"/>
        </w:rPr>
        <w:t>Министра энергетики</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______________Б. Джаксалиев</w:t>
      </w:r>
      <w:r>
        <w:br/>
      </w:r>
      <w:r>
        <w:rPr>
          <w:rFonts w:ascii="Times New Roman"/>
          <w:b w:val="false"/>
          <w:i w:val="false"/>
          <w:color w:val="000000"/>
          <w:sz w:val="28"/>
        </w:rPr>
        <w:t>от 8 декабря 2016 года</w:t>
      </w:r>
    </w:p>
    <w:bookmarkEnd w:id="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6 декабря 2016 года № 499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Особому порядку регулирования</w:t>
            </w:r>
            <w:r>
              <w:br/>
            </w:r>
            <w:r>
              <w:rPr>
                <w:rFonts w:ascii="Times New Roman"/>
                <w:b w:val="false"/>
                <w:i w:val="false"/>
                <w:color w:val="000000"/>
                <w:sz w:val="20"/>
              </w:rPr>
              <w:t>деятельности субъектов естественных</w:t>
            </w:r>
            <w:r>
              <w:br/>
            </w:r>
            <w:r>
              <w:rPr>
                <w:rFonts w:ascii="Times New Roman"/>
                <w:b w:val="false"/>
                <w:i w:val="false"/>
                <w:color w:val="000000"/>
                <w:sz w:val="20"/>
              </w:rPr>
              <w:t>монополий, привлекающих займы</w:t>
            </w:r>
            <w:r>
              <w:br/>
            </w:r>
            <w:r>
              <w:rPr>
                <w:rFonts w:ascii="Times New Roman"/>
                <w:b w:val="false"/>
                <w:i w:val="false"/>
                <w:color w:val="000000"/>
                <w:sz w:val="20"/>
              </w:rPr>
              <w:t>международных финансовых организаций</w:t>
            </w:r>
            <w:r>
              <w:br/>
            </w:r>
            <w:r>
              <w:rPr>
                <w:rFonts w:ascii="Times New Roman"/>
                <w:b w:val="false"/>
                <w:i w:val="false"/>
                <w:color w:val="000000"/>
                <w:sz w:val="20"/>
              </w:rPr>
              <w:t>и входящих в перечень субъектов</w:t>
            </w:r>
            <w:r>
              <w:br/>
            </w:r>
            <w:r>
              <w:rPr>
                <w:rFonts w:ascii="Times New Roman"/>
                <w:b w:val="false"/>
                <w:i w:val="false"/>
                <w:color w:val="000000"/>
                <w:sz w:val="20"/>
              </w:rPr>
              <w:t>естественных монополий, привлекающих</w:t>
            </w:r>
            <w:r>
              <w:br/>
            </w:r>
            <w:r>
              <w:rPr>
                <w:rFonts w:ascii="Times New Roman"/>
                <w:b w:val="false"/>
                <w:i w:val="false"/>
                <w:color w:val="000000"/>
                <w:sz w:val="20"/>
              </w:rPr>
              <w:t>займы международных</w:t>
            </w:r>
            <w:r>
              <w:br/>
            </w:r>
            <w:r>
              <w:rPr>
                <w:rFonts w:ascii="Times New Roman"/>
                <w:b w:val="false"/>
                <w:i w:val="false"/>
                <w:color w:val="000000"/>
                <w:sz w:val="20"/>
              </w:rPr>
              <w:t>финансовых организаций</w:t>
            </w:r>
          </w:p>
        </w:tc>
      </w:tr>
    </w:tbl>
    <w:bookmarkStart w:name="z50" w:id="34"/>
    <w:p>
      <w:pPr>
        <w:spacing w:after="0"/>
        <w:ind w:left="0"/>
        <w:jc w:val="left"/>
      </w:pPr>
      <w:r>
        <w:rPr>
          <w:rFonts w:ascii="Times New Roman"/>
          <w:b/>
          <w:i w:val="false"/>
          <w:color w:val="000000"/>
        </w:rPr>
        <w:t xml:space="preserve"> Специальные критерии качества, надежности и эффективности регулируемых услуг (максимальное значение – 0,4):</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5"/>
        <w:gridCol w:w="8970"/>
        <w:gridCol w:w="1885"/>
      </w:tblGrid>
      <w:tr>
        <w:trPr>
          <w:trHeight w:val="30" w:hRule="atLeast"/>
        </w:trPr>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5"/>
          <w:p>
            <w:pPr>
              <w:spacing w:after="20"/>
              <w:ind w:left="20"/>
              <w:jc w:val="both"/>
            </w:pPr>
            <w:r>
              <w:rPr>
                <w:rFonts w:ascii="Times New Roman"/>
                <w:b w:val="false"/>
                <w:i w:val="false"/>
                <w:color w:val="000000"/>
                <w:sz w:val="20"/>
              </w:rPr>
              <w:t>
№</w:t>
            </w:r>
          </w:p>
          <w:bookmarkEnd w:id="35"/>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критерии</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Коэффициенты</w:t>
            </w:r>
          </w:p>
        </w:tc>
      </w:tr>
      <w:tr>
        <w:trPr>
          <w:trHeight w:val="30" w:hRule="atLeast"/>
        </w:trPr>
        <w:tc>
          <w:tcPr>
            <w:tcW w:w="1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6"/>
          <w:p>
            <w:pPr>
              <w:spacing w:after="20"/>
              <w:ind w:left="20"/>
              <w:jc w:val="both"/>
            </w:pPr>
            <w:r>
              <w:rPr>
                <w:rFonts w:ascii="Times New Roman"/>
                <w:b w:val="false"/>
                <w:i w:val="false"/>
                <w:color w:val="000000"/>
                <w:sz w:val="20"/>
              </w:rPr>
              <w:t>
1</w:t>
            </w:r>
          </w:p>
          <w:bookmarkEnd w:id="3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сфере теплоэнергетики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0" w:type="auto"/>
            <w:vMerge/>
            <w:tcBorders>
              <w:top w:val="nil"/>
              <w:left w:val="single" w:color="cfcfcf" w:sz="5"/>
              <w:bottom w:val="single" w:color="cfcfcf" w:sz="5"/>
              <w:right w:val="single" w:color="cfcfcf" w:sz="5"/>
            </w:tcBorders>
          </w:tcP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подача тепловой энергии соответствующие санитарным нормам, определяющим температуру воздуха в жилых помещениях – круглосуточно в течение отопительного сезона</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0" w:type="auto"/>
            <w:vMerge/>
            <w:tcBorders>
              <w:top w:val="nil"/>
              <w:left w:val="single" w:color="cfcfcf" w:sz="5"/>
              <w:bottom w:val="single" w:color="cfcfcf" w:sz="5"/>
              <w:right w:val="single" w:color="cfcfcf" w:sz="5"/>
            </w:tcBorders>
          </w:tcP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Надежность:</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0" w:type="auto"/>
            <w:vMerge/>
            <w:tcBorders>
              <w:top w:val="nil"/>
              <w:left w:val="single" w:color="cfcfcf" w:sz="5"/>
              <w:bottom w:val="single" w:color="cfcfcf" w:sz="5"/>
              <w:right w:val="single" w:color="cfcfcf" w:sz="5"/>
            </w:tcBorders>
          </w:tcP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бесперебойная подача тепловой энергии потребителям соответствующей стандартам услуг</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0" w:type="auto"/>
            <w:vMerge/>
            <w:tcBorders>
              <w:top w:val="nil"/>
              <w:left w:val="single" w:color="cfcfcf" w:sz="5"/>
              <w:bottom w:val="single" w:color="cfcfcf" w:sz="5"/>
              <w:right w:val="single" w:color="cfcfcf" w:sz="5"/>
            </w:tcBorders>
          </w:tcP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задаваемого тепловыми сетями температурного графика (для энергопроизводящих станций и котельных)</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37"/>
          <w:p>
            <w:pPr>
              <w:spacing w:after="20"/>
              <w:ind w:left="20"/>
              <w:jc w:val="both"/>
            </w:pPr>
            <w:r>
              <w:rPr>
                <w:rFonts w:ascii="Times New Roman"/>
                <w:b w:val="false"/>
                <w:i w:val="false"/>
                <w:color w:val="000000"/>
                <w:sz w:val="20"/>
              </w:rPr>
              <w:t>
2</w:t>
            </w:r>
          </w:p>
          <w:bookmarkEnd w:id="3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сфере водоснабжения и водоотведения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0" w:type="auto"/>
            <w:vMerge/>
            <w:tcBorders>
              <w:top w:val="nil"/>
              <w:left w:val="single" w:color="cfcfcf" w:sz="5"/>
              <w:bottom w:val="single" w:color="cfcfcf" w:sz="5"/>
              <w:right w:val="single" w:color="cfcfcf" w:sz="5"/>
            </w:tcBorders>
          </w:tcP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количества аварий в расчете на протяженность сетей водоснабжения и (или) водоотведения в год</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0" w:type="auto"/>
            <w:vMerge/>
            <w:tcBorders>
              <w:top w:val="nil"/>
              <w:left w:val="single" w:color="cfcfcf" w:sz="5"/>
              <w:bottom w:val="single" w:color="cfcfcf" w:sz="5"/>
              <w:right w:val="single" w:color="cfcfcf" w:sz="5"/>
            </w:tcBorders>
          </w:tcP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Надежность:</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0" w:type="auto"/>
            <w:vMerge/>
            <w:tcBorders>
              <w:top w:val="nil"/>
              <w:left w:val="single" w:color="cfcfcf" w:sz="5"/>
              <w:bottom w:val="single" w:color="cfcfcf" w:sz="5"/>
              <w:right w:val="single" w:color="cfcfcf" w:sz="5"/>
            </w:tcBorders>
          </w:tcP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доли магистральных (распределительных) сетей, нуждающихся в замене (в процентах)</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0" w:type="auto"/>
            <w:vMerge/>
            <w:tcBorders>
              <w:top w:val="nil"/>
              <w:left w:val="single" w:color="cfcfcf" w:sz="5"/>
              <w:bottom w:val="single" w:color="cfcfcf" w:sz="5"/>
              <w:right w:val="single" w:color="cfcfcf" w:sz="5"/>
            </w:tcBorders>
          </w:tcP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0" w:type="auto"/>
            <w:vMerge/>
            <w:tcBorders>
              <w:top w:val="nil"/>
              <w:left w:val="single" w:color="cfcfcf" w:sz="5"/>
              <w:bottom w:val="single" w:color="cfcfcf" w:sz="5"/>
              <w:right w:val="single" w:color="cfcfcf" w:sz="5"/>
            </w:tcBorders>
          </w:tcP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доли энергосберегающих насосных оборудований</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1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38"/>
          <w:p>
            <w:pPr>
              <w:spacing w:after="20"/>
              <w:ind w:left="20"/>
              <w:jc w:val="both"/>
            </w:pPr>
            <w:r>
              <w:rPr>
                <w:rFonts w:ascii="Times New Roman"/>
                <w:b w:val="false"/>
                <w:i w:val="false"/>
                <w:color w:val="000000"/>
                <w:sz w:val="20"/>
              </w:rPr>
              <w:t>
2.1</w:t>
            </w:r>
          </w:p>
          <w:bookmarkEnd w:id="3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сфере водоснабжения орошаемого земледелия</w:t>
            </w:r>
          </w:p>
        </w:tc>
      </w:tr>
      <w:tr>
        <w:trPr>
          <w:trHeight w:val="30" w:hRule="atLeast"/>
        </w:trPr>
        <w:tc>
          <w:tcPr>
            <w:tcW w:w="0" w:type="auto"/>
            <w:vMerge/>
            <w:tcBorders>
              <w:top w:val="nil"/>
              <w:left w:val="single" w:color="cfcfcf" w:sz="5"/>
              <w:bottom w:val="single" w:color="cfcfcf" w:sz="5"/>
              <w:right w:val="single" w:color="cfcfcf" w:sz="5"/>
            </w:tcBorders>
          </w:tcP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0" w:type="auto"/>
            <w:vMerge/>
            <w:tcBorders>
              <w:top w:val="nil"/>
              <w:left w:val="single" w:color="cfcfcf" w:sz="5"/>
              <w:bottom w:val="single" w:color="cfcfcf" w:sz="5"/>
              <w:right w:val="single" w:color="cfcfcf" w:sz="5"/>
            </w:tcBorders>
          </w:tcP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подача воды в соответствии с планом водораспределения, разработанного с учетом лимита водопользования и водности года</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0" w:type="auto"/>
            <w:vMerge/>
            <w:tcBorders>
              <w:top w:val="nil"/>
              <w:left w:val="single" w:color="cfcfcf" w:sz="5"/>
              <w:bottom w:val="single" w:color="cfcfcf" w:sz="5"/>
              <w:right w:val="single" w:color="cfcfcf" w:sz="5"/>
            </w:tcBorders>
          </w:tcP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Надежность:</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0" w:type="auto"/>
            <w:vMerge/>
            <w:tcBorders>
              <w:top w:val="nil"/>
              <w:left w:val="single" w:color="cfcfcf" w:sz="5"/>
              <w:bottom w:val="single" w:color="cfcfcf" w:sz="5"/>
              <w:right w:val="single" w:color="cfcfcf" w:sz="5"/>
            </w:tcBorders>
          </w:tcP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эксплуатационной надежности водохозяйственных сооружений, каналов, трубопроводов (увеличение доли сооружений, приведенных в безопасное техническое состояние)</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0" w:type="auto"/>
            <w:vMerge/>
            <w:tcBorders>
              <w:top w:val="nil"/>
              <w:left w:val="single" w:color="cfcfcf" w:sz="5"/>
              <w:bottom w:val="single" w:color="cfcfcf" w:sz="5"/>
              <w:right w:val="single" w:color="cfcfcf" w:sz="5"/>
            </w:tcBorders>
          </w:tcP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0" w:type="auto"/>
            <w:vMerge/>
            <w:tcBorders>
              <w:top w:val="nil"/>
              <w:left w:val="single" w:color="cfcfcf" w:sz="5"/>
              <w:bottom w:val="single" w:color="cfcfcf" w:sz="5"/>
              <w:right w:val="single" w:color="cfcfcf" w:sz="5"/>
            </w:tcBorders>
          </w:tcP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коэффициента полезного действия водовода (канала и других)</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1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39"/>
          <w:p>
            <w:pPr>
              <w:spacing w:after="20"/>
              <w:ind w:left="20"/>
              <w:jc w:val="both"/>
            </w:pPr>
            <w:r>
              <w:rPr>
                <w:rFonts w:ascii="Times New Roman"/>
                <w:b w:val="false"/>
                <w:i w:val="false"/>
                <w:color w:val="000000"/>
                <w:sz w:val="20"/>
              </w:rPr>
              <w:t>
3</w:t>
            </w:r>
          </w:p>
          <w:bookmarkEnd w:id="3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сфере электроэнергетики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0" w:type="auto"/>
            <w:vMerge/>
            <w:tcBorders>
              <w:top w:val="nil"/>
              <w:left w:val="single" w:color="cfcfcf" w:sz="5"/>
              <w:bottom w:val="single" w:color="cfcfcf" w:sz="5"/>
              <w:right w:val="single" w:color="cfcfcf" w:sz="5"/>
            </w:tcBorders>
          </w:tcP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Надежность:</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0" w:type="auto"/>
            <w:vMerge/>
            <w:tcBorders>
              <w:top w:val="nil"/>
              <w:left w:val="single" w:color="cfcfcf" w:sz="5"/>
              <w:bottom w:val="single" w:color="cfcfcf" w:sz="5"/>
              <w:right w:val="single" w:color="cfcfcf" w:sz="5"/>
            </w:tcBorders>
          </w:tcP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недопоставленная электроэнергия, среднее время прерывания</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0" w:type="auto"/>
            <w:vMerge/>
            <w:tcBorders>
              <w:top w:val="nil"/>
              <w:left w:val="single" w:color="cfcfcf" w:sz="5"/>
              <w:bottom w:val="single" w:color="cfcfcf" w:sz="5"/>
              <w:right w:val="single" w:color="cfcfcf" w:sz="5"/>
            </w:tcBorders>
          </w:tcP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индекс длительности прерываний в работе системы;</w:t>
            </w:r>
            <w:r>
              <w:br/>
            </w:r>
            <w:r>
              <w:rPr>
                <w:rFonts w:ascii="Times New Roman"/>
                <w:b w:val="false"/>
                <w:i w:val="false"/>
                <w:color w:val="000000"/>
                <w:sz w:val="20"/>
              </w:rPr>
              <w:t>средний индекс частоты прерываний в работе системы</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0" w:type="auto"/>
            <w:vMerge/>
            <w:tcBorders>
              <w:top w:val="nil"/>
              <w:left w:val="single" w:color="cfcfcf" w:sz="5"/>
              <w:bottom w:val="single" w:color="cfcfcf" w:sz="5"/>
              <w:right w:val="single" w:color="cfcfcf" w:sz="5"/>
            </w:tcBorders>
          </w:tcP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энергосберегающих оборудований</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40"/>
          <w:p>
            <w:pPr>
              <w:spacing w:after="20"/>
              <w:ind w:left="20"/>
              <w:jc w:val="both"/>
            </w:pPr>
            <w:r>
              <w:rPr>
                <w:rFonts w:ascii="Times New Roman"/>
                <w:b w:val="false"/>
                <w:i w:val="false"/>
                <w:color w:val="000000"/>
                <w:sz w:val="20"/>
              </w:rPr>
              <w:t>
4</w:t>
            </w:r>
          </w:p>
          <w:bookmarkEnd w:id="4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сфере гражданской авиации и портов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vMerge/>
            <w:tcBorders>
              <w:top w:val="nil"/>
              <w:left w:val="single" w:color="cfcfcf" w:sz="5"/>
              <w:bottom w:val="single" w:color="cfcfcf" w:sz="5"/>
              <w:right w:val="single" w:color="cfcfcf" w:sz="5"/>
            </w:tcBorders>
          </w:tcP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обоснованных задержек рейсов</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0" w:type="auto"/>
            <w:vMerge/>
            <w:tcBorders>
              <w:top w:val="nil"/>
              <w:left w:val="single" w:color="cfcfcf" w:sz="5"/>
              <w:bottom w:val="single" w:color="cfcfcf" w:sz="5"/>
              <w:right w:val="single" w:color="cfcfcf" w:sz="5"/>
            </w:tcBorders>
          </w:tcP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продолжительность задержек на один рейс</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0" w:type="auto"/>
            <w:vMerge/>
            <w:tcBorders>
              <w:top w:val="nil"/>
              <w:left w:val="single" w:color="cfcfcf" w:sz="5"/>
              <w:bottom w:val="single" w:color="cfcfcf" w:sz="5"/>
              <w:right w:val="single" w:color="cfcfcf" w:sz="5"/>
            </w:tcBorders>
          </w:tcP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предпосылка к авиационному происшествию по вине аэропорта</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Надежность:</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происшествий на взлетно-посадочной полосе на тысячу взлетно-посадочных операций</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0" w:type="auto"/>
            <w:vMerge/>
            <w:tcBorders>
              <w:top w:val="nil"/>
              <w:left w:val="single" w:color="cfcfcf" w:sz="5"/>
              <w:bottom w:val="single" w:color="cfcfcf" w:sz="5"/>
              <w:right w:val="single" w:color="cfcfcf" w:sz="5"/>
            </w:tcBorders>
          </w:tcP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происшествий на взлетно-посадочной полосе со смертельным исходом на тысячу взлетно-посадочных операций</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0" w:type="auto"/>
            <w:vMerge/>
            <w:tcBorders>
              <w:top w:val="nil"/>
              <w:left w:val="single" w:color="cfcfcf" w:sz="5"/>
              <w:bottom w:val="single" w:color="cfcfcf" w:sz="5"/>
              <w:right w:val="single" w:color="cfcfcf" w:sz="5"/>
            </w:tcBorders>
          </w:tcP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происшествий на тысячу часов работы</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0" w:type="auto"/>
            <w:vMerge/>
            <w:tcBorders>
              <w:top w:val="nil"/>
              <w:left w:val="single" w:color="cfcfcf" w:sz="5"/>
              <w:bottom w:val="single" w:color="cfcfcf" w:sz="5"/>
              <w:right w:val="single" w:color="cfcfcf" w:sz="5"/>
            </w:tcBorders>
          </w:tcP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 несанкционированного занятия взлетно-посадочной полосы на тысячу взлетно-посадочных операций</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0" w:type="auto"/>
            <w:vMerge/>
            <w:tcBorders>
              <w:top w:val="nil"/>
              <w:left w:val="single" w:color="cfcfcf" w:sz="5"/>
              <w:bottom w:val="single" w:color="cfcfcf" w:sz="5"/>
              <w:right w:val="single" w:color="cfcfcf" w:sz="5"/>
            </w:tcBorders>
          </w:tcP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столкновений с птицами на взлетно-посадочных операций</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0" w:type="auto"/>
            <w:vMerge/>
            <w:tcBorders>
              <w:top w:val="nil"/>
              <w:left w:val="single" w:color="cfcfcf" w:sz="5"/>
              <w:bottom w:val="single" w:color="cfcfcf" w:sz="5"/>
              <w:right w:val="single" w:color="cfcfcf" w:sz="5"/>
            </w:tcBorders>
          </w:tcP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 возможной пропускной способности на фактическую пропускную способность аэропорта (количество ежедневных взлетно-посадочных операций)</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0" w:type="auto"/>
            <w:vMerge/>
            <w:tcBorders>
              <w:top w:val="nil"/>
              <w:left w:val="single" w:color="cfcfcf" w:sz="5"/>
              <w:bottom w:val="single" w:color="cfcfcf" w:sz="5"/>
              <w:right w:val="single" w:color="cfcfcf" w:sz="5"/>
            </w:tcBorders>
          </w:tcP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сокращению затрат (оптимизация)</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1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41"/>
          <w:p>
            <w:pPr>
              <w:spacing w:after="20"/>
              <w:ind w:left="20"/>
              <w:jc w:val="both"/>
            </w:pPr>
            <w:r>
              <w:rPr>
                <w:rFonts w:ascii="Times New Roman"/>
                <w:b w:val="false"/>
                <w:i w:val="false"/>
                <w:color w:val="000000"/>
                <w:sz w:val="20"/>
              </w:rPr>
              <w:t>
5</w:t>
            </w:r>
          </w:p>
          <w:bookmarkEnd w:id="41"/>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сфере транспортировки товарного газа по распределительным трубопроводам</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0" w:type="auto"/>
            <w:vMerge/>
            <w:tcBorders>
              <w:top w:val="nil"/>
              <w:left w:val="single" w:color="cfcfcf" w:sz="5"/>
              <w:bottom w:val="single" w:color="cfcfcf" w:sz="5"/>
              <w:right w:val="single" w:color="cfcfcf" w:sz="5"/>
            </w:tcBorders>
          </w:tcP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подача товарного газа потребителям требуемых параметров согласно СН РК 4.03-01-2011 (давление и теплотворная способность) круглогодично</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0" w:type="auto"/>
            <w:vMerge/>
            <w:tcBorders>
              <w:top w:val="nil"/>
              <w:left w:val="single" w:color="cfcfcf" w:sz="5"/>
              <w:bottom w:val="single" w:color="cfcfcf" w:sz="5"/>
              <w:right w:val="single" w:color="cfcfcf" w:sz="5"/>
            </w:tcBorders>
          </w:tcP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Надежность:</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0" w:type="auto"/>
            <w:vMerge/>
            <w:tcBorders>
              <w:top w:val="nil"/>
              <w:left w:val="single" w:color="cfcfcf" w:sz="5"/>
              <w:bottom w:val="single" w:color="cfcfcf" w:sz="5"/>
              <w:right w:val="single" w:color="cfcfcf" w:sz="5"/>
            </w:tcBorders>
          </w:tcP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бесперебойная подача товарного газа потребителям</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0" w:type="auto"/>
            <w:vMerge/>
            <w:tcBorders>
              <w:top w:val="nil"/>
              <w:left w:val="single" w:color="cfcfcf" w:sz="5"/>
              <w:bottom w:val="single" w:color="cfcfcf" w:sz="5"/>
              <w:right w:val="single" w:color="cfcfcf" w:sz="5"/>
            </w:tcBorders>
          </w:tcP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эксплуатационной надежности газоснабжающих сооружений (увеличение доли сооружений, приведенных в безопасное техническое состояние)</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0" w:type="auto"/>
            <w:vMerge/>
            <w:tcBorders>
              <w:top w:val="nil"/>
              <w:left w:val="single" w:color="cfcfcf" w:sz="5"/>
              <w:bottom w:val="single" w:color="cfcfcf" w:sz="5"/>
              <w:right w:val="single" w:color="cfcfcf" w:sz="5"/>
            </w:tcBorders>
          </w:tcP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количества аварий в расчете на протяженность сетей в год</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1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42"/>
          <w:p>
            <w:pPr>
              <w:spacing w:after="20"/>
              <w:ind w:left="20"/>
              <w:jc w:val="both"/>
            </w:pPr>
            <w:r>
              <w:rPr>
                <w:rFonts w:ascii="Times New Roman"/>
                <w:b w:val="false"/>
                <w:i w:val="false"/>
                <w:color w:val="000000"/>
                <w:sz w:val="20"/>
              </w:rPr>
              <w:t>
6</w:t>
            </w:r>
          </w:p>
          <w:bookmarkEnd w:id="42"/>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сфере транспортировки товарного газа по магистральным трубопроводам</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0" w:type="auto"/>
            <w:vMerge/>
            <w:tcBorders>
              <w:top w:val="nil"/>
              <w:left w:val="single" w:color="cfcfcf" w:sz="5"/>
              <w:bottom w:val="single" w:color="cfcfcf" w:sz="5"/>
              <w:right w:val="single" w:color="cfcfcf" w:sz="5"/>
            </w:tcBorders>
          </w:tcP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подача товарного газа потребителям требуемых параметров, согласно СН РК 4.03-01-2011 (давление и теплотворная способность) круглогодично</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0" w:type="auto"/>
            <w:vMerge/>
            <w:tcBorders>
              <w:top w:val="nil"/>
              <w:left w:val="single" w:color="cfcfcf" w:sz="5"/>
              <w:bottom w:val="single" w:color="cfcfcf" w:sz="5"/>
              <w:right w:val="single" w:color="cfcfcf" w:sz="5"/>
            </w:tcBorders>
          </w:tcP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Надежность:</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бесперебойная подача товарного газа потребителям</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0" w:type="auto"/>
            <w:vMerge/>
            <w:tcBorders>
              <w:top w:val="nil"/>
              <w:left w:val="single" w:color="cfcfcf" w:sz="5"/>
              <w:bottom w:val="single" w:color="cfcfcf" w:sz="5"/>
              <w:right w:val="single" w:color="cfcfcf" w:sz="5"/>
            </w:tcBorders>
          </w:tcP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сохранение и (или) увеличение пропускной способности газотранспортной системы</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