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f417" w14:textId="645f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8 июня 2015 года № 201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апреля 2016 года № 149. Зарегистрировано Департаментом юстиции Актюбинской области 12 мая 2016 года № 4916.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июня 2015 года № 201 "Об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(зарегистрированное в реестре государственной регистрации нормативных правовых актов № 4420, опубликованное 21 июля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2016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2015 года № 201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- государственная услуга) оказывается государственным учреждением "Управление сельского хозяйства Актюбинской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услугодателя, отделов сельского хозяйства и ветеринарии районов и города Актобе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www.egov.kz.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предоставление в государственное учреждение "Департамент Казначейства по Актюбинской области" (далее-территориальное подразделение казначейства)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 (частично автоматизированная) или бумажная.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подразделении (сотрудников) услугодателя в процессе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вносит на рассмотрение межведомственной комиссии (далее - МВК)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Отделом документы, составляет список 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его на утверждение акиму района (города Актобе);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услугополучателю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услугодателю утвержденный акимами районов и города Актобе список и другие необходимые документы, в течение 3 (трех)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в течение 5 (пяти) рабочих дней.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 Актобе).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прохождения каждой процедуры (действия)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представленные Отделом документы, составляет список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его на утверждение акиму района (города Актобе);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услугополучателю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услугодателю утвержденный акимами районов и города Актобе список и другие необходимые документы, в течение 3 (трех)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в течение 5 (пяти) рабочих дней.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заявку и необходимые документы в Государственную корпорацию согласно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инспектор Государственной корпорации регистрирует поступившие документы и выдает расписку услугополучателю о приеме соответствующих документов с указанием, в течение 1 (одного)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инспектор Государственной корпорации передает документы в накопительный сектор,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накопительный сектор собирает документы, составляет реестр и передает документы Отделу через курьера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заявку с пакетом документов и регистрирует;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Отделом документы, составляет список 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услугодателю утвержденный акимами районов и акимам города Актобе список и другие необходимые документы,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а также передает Отделу уведомление,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Отдел регистрирует и передает результат государственной услуги курьеру Государственной корпорации.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курьер Государственной корпорации передает результат государственной услуги в накопительный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накопительный сектор передает результат государственной услуги инспектору Государственной корпорации,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инспектор Государственной корпорации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логин, индивидуальный идентификационный номер/бизнес – 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(запроса) услугополучателя и обработка запроса в информационной системе информационно-аналатическая система (далее - ИСИАС);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представляемых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данных услугополучателя в ИСИАС;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процесс 9 – получение услугополучателем результатов услуги сформированной порталом.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взаймодействия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Государственной корпорацией и (или)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работ, путем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работ, путем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