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5d56" w14:textId="cde5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экономики и бюджетного планирования Республики Казахстан от 16 июля 2009 года № 151 "Об утверждении Правил определения целесообразности бюджетного кредитования"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12 августа 2017 года № 300. Зарегистрирован в Министерстве юстиции Республики Казахстан 17 августа 2017 года № 15504. Утратил силу приказом и.о. Министра национальной экономики Республики Казахстан от 16 февраля 2018 года № 61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национальной экономики РК от 16.02.2018 </w:t>
      </w:r>
      <w:r>
        <w:rPr>
          <w:rFonts w:ascii="Times New Roman"/>
          <w:b w:val="false"/>
          <w:i w:val="false"/>
          <w:color w:val="ff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16 июля 2009 года № 151 "Об утверждении Правил определения целесообразности бюджетного кредитования" (зарегистрирован в Реестре государственной регистрации нормативных правовых актов за № 5727, опубликован в 2009 году в Собрании актов центральных исполнительных и иных центральных государственных органов Республики Казахстан № 8) следующие изменения:</w:t>
      </w:r>
    </w:p>
    <w:bookmarkEnd w:id="1"/>
    <w:bookmarkStart w:name="z6" w:id="2"/>
    <w:p>
      <w:pPr>
        <w:spacing w:after="0"/>
        <w:ind w:left="0"/>
        <w:jc w:val="both"/>
      </w:pPr>
      <w:r>
        <w:rPr>
          <w:rFonts w:ascii="Times New Roman"/>
          <w:b w:val="false"/>
          <w:i w:val="false"/>
          <w:color w:val="000000"/>
          <w:sz w:val="28"/>
        </w:rPr>
        <w:t xml:space="preserve">
      в заголовок и в </w:t>
      </w:r>
      <w:r>
        <w:rPr>
          <w:rFonts w:ascii="Times New Roman"/>
          <w:b w:val="false"/>
          <w:i w:val="false"/>
          <w:color w:val="000000"/>
          <w:sz w:val="28"/>
        </w:rPr>
        <w:t>пункт 1</w:t>
      </w:r>
      <w:r>
        <w:rPr>
          <w:rFonts w:ascii="Times New Roman"/>
          <w:b w:val="false"/>
          <w:i w:val="false"/>
          <w:color w:val="000000"/>
          <w:sz w:val="28"/>
        </w:rPr>
        <w:t xml:space="preserve"> приказа вносятся изменения на государственном языке, текст на русском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"16. Ставка вознаграждения по бюджетному кредиту при реализации инвестиционных проектов определяется в последовательности: для конечного заемщика – для заемщиков. Администратором бюджетной программы представляются расчеты и обоснования по ставке доходности, позволяющей реализовать проект, и величинам параметров, закладываемых в маржу заемщиков.</w:t>
      </w:r>
    </w:p>
    <w:bookmarkEnd w:id="3"/>
    <w:bookmarkStart w:name="z9" w:id="4"/>
    <w:p>
      <w:pPr>
        <w:spacing w:after="0"/>
        <w:ind w:left="0"/>
        <w:jc w:val="both"/>
      </w:pPr>
      <w:r>
        <w:rPr>
          <w:rFonts w:ascii="Times New Roman"/>
          <w:b w:val="false"/>
          <w:i w:val="false"/>
          <w:color w:val="000000"/>
          <w:sz w:val="28"/>
        </w:rPr>
        <w:t>
      Размер ставки вознаграждения для конечного заемщика при реализации инвестиционных проектов устанавливается расчетным путем, исходя из финансово-экономической эффективности проекта, и равно значению внутренней нормы доходности.</w:t>
      </w:r>
    </w:p>
    <w:bookmarkEnd w:id="4"/>
    <w:bookmarkStart w:name="z10" w:id="5"/>
    <w:p>
      <w:pPr>
        <w:spacing w:after="0"/>
        <w:ind w:left="0"/>
        <w:jc w:val="both"/>
      </w:pPr>
      <w:r>
        <w:rPr>
          <w:rFonts w:ascii="Times New Roman"/>
          <w:b w:val="false"/>
          <w:i w:val="false"/>
          <w:color w:val="000000"/>
          <w:sz w:val="28"/>
        </w:rPr>
        <w:t>
      При этом, размер ставки вознаграждения для конечного заемщика, устанавливаемый специализированной организацией, за исключением ставки вознаграждения по кредитам, предоставляемым субъектам агропромышленного комплекса, не превышает двукратной ставки вознаграждения, устанавливаемой на уровне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p>
    <w:bookmarkEnd w:id="5"/>
    <w:bookmarkStart w:name="z11" w:id="6"/>
    <w:p>
      <w:pPr>
        <w:spacing w:after="0"/>
        <w:ind w:left="0"/>
        <w:jc w:val="both"/>
      </w:pPr>
      <w:r>
        <w:rPr>
          <w:rFonts w:ascii="Times New Roman"/>
          <w:b w:val="false"/>
          <w:i w:val="false"/>
          <w:color w:val="000000"/>
          <w:sz w:val="28"/>
        </w:rPr>
        <w:t>
      При бюджетном кредитовании на решение задач социальной политики государства и на реализацию государственной инвестиционной политики финансовыми агентствами маржа заемщика, за исключением финансовых агентств, осуществляющих деятельность по предоставлению вкладчикам промежуточных жилищных займов и предварительных жилищных займов на проведение мероприятий по улучшению жилищных условий, определяется расчетным путем, исходя из величины закладываемых операционных расходов, и составляет от 0% до 1,5% от суммы бюджетного кредита ежегодно. При этом, в составе маржи заемщика уровень административных расходов не превышает 1% от суммы бюджетного кредита ежегодно, оценка риска не превышает 1% от суммы бюджетного кредита ежегодно.</w:t>
      </w:r>
    </w:p>
    <w:bookmarkEnd w:id="6"/>
    <w:bookmarkStart w:name="z12" w:id="7"/>
    <w:p>
      <w:pPr>
        <w:spacing w:after="0"/>
        <w:ind w:left="0"/>
        <w:jc w:val="both"/>
      </w:pPr>
      <w:r>
        <w:rPr>
          <w:rFonts w:ascii="Times New Roman"/>
          <w:b w:val="false"/>
          <w:i w:val="false"/>
          <w:color w:val="000000"/>
          <w:sz w:val="28"/>
        </w:rPr>
        <w:t>
      Размер ставки вознаграждения для конечного заемщика финансового агентства, осуществляющего деятельность по предоставлению промежуточных жилищных и предварительных жилищных займов на проведение мероприятий по улучшению жилищных условий не превышает 9,5 % годовых с учетом маржи.</w:t>
      </w:r>
    </w:p>
    <w:bookmarkEnd w:id="7"/>
    <w:bookmarkStart w:name="z13" w:id="8"/>
    <w:p>
      <w:pPr>
        <w:spacing w:after="0"/>
        <w:ind w:left="0"/>
        <w:jc w:val="both"/>
      </w:pPr>
      <w:r>
        <w:rPr>
          <w:rFonts w:ascii="Times New Roman"/>
          <w:b w:val="false"/>
          <w:i w:val="false"/>
          <w:color w:val="000000"/>
          <w:sz w:val="28"/>
        </w:rPr>
        <w:t>
      Данные величины рассчитываются на основании предоставленной информации в составе документации согласно пункту 14 настоящих Правил.";</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xml:space="preserve">
      "33. Определение целесообразности бюджетного кредитования на решение задач социальной политики государства осуществляется путем согласования соответствующей государственной или правительственной программы или изменений и дополнений в данную программу, предусматривающих мероприятия, планируемые к финансированию посредством бюджетного кредитования, на основании документации, предоставляемой администратором бюджетной программы согласно </w:t>
      </w:r>
      <w:r>
        <w:rPr>
          <w:rFonts w:ascii="Times New Roman"/>
          <w:b w:val="false"/>
          <w:i w:val="false"/>
          <w:color w:val="000000"/>
          <w:sz w:val="28"/>
        </w:rPr>
        <w:t>пункту 14</w:t>
      </w:r>
      <w:r>
        <w:rPr>
          <w:rFonts w:ascii="Times New Roman"/>
          <w:b w:val="false"/>
          <w:i w:val="false"/>
          <w:color w:val="000000"/>
          <w:sz w:val="28"/>
        </w:rPr>
        <w:t xml:space="preserve"> настоящих Правил.".</w:t>
      </w:r>
    </w:p>
    <w:bookmarkEnd w:id="9"/>
    <w:bookmarkStart w:name="z16" w:id="10"/>
    <w:p>
      <w:pPr>
        <w:spacing w:after="0"/>
        <w:ind w:left="0"/>
        <w:jc w:val="both"/>
      </w:pPr>
      <w:r>
        <w:rPr>
          <w:rFonts w:ascii="Times New Roman"/>
          <w:b w:val="false"/>
          <w:i w:val="false"/>
          <w:color w:val="000000"/>
          <w:sz w:val="28"/>
        </w:rPr>
        <w:t>
      2. Департаменту бюджетных инвестиций и развития государственно-частного партнерства Министерства национальной экономики Республики Казахстан обеспечить в установленном законодательством порядке обеспечить:</w:t>
      </w:r>
    </w:p>
    <w:bookmarkEnd w:id="10"/>
    <w:bookmarkStart w:name="z17"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8" w:id="1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
    <w:bookmarkStart w:name="z19" w:id="13"/>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13"/>
    <w:bookmarkStart w:name="z20" w:id="1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14"/>
    <w:bookmarkStart w:name="z21" w:id="15"/>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15"/>
    <w:bookmarkStart w:name="z22" w:id="16"/>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июля 2017 года. </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24" w:id="17"/>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Б. Султанов</w:t>
      </w:r>
    </w:p>
    <w:bookmarkEnd w:id="17"/>
    <w:bookmarkStart w:name="z25" w:id="18"/>
    <w:p>
      <w:pPr>
        <w:spacing w:after="0"/>
        <w:ind w:left="0"/>
        <w:jc w:val="both"/>
      </w:pPr>
      <w:r>
        <w:rPr>
          <w:rFonts w:ascii="Times New Roman"/>
          <w:b w:val="false"/>
          <w:i w:val="false"/>
          <w:color w:val="000000"/>
          <w:sz w:val="28"/>
        </w:rPr>
        <w:t>
      " " 2017 года</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