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1c27" w14:textId="d171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Постановление акимата города Капшагай Алматинской области от 9 февраля 2017 года № 114. Зарегистрировано Департаментом юстиции Алматинской области 24 февраля 2017 года № 4113</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c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города Капшагай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Установить квоту рабочих мест для трудоустройства лиц, состоящих на учете службы пробации,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для организаций независимо от организационно-правовой формы и формы собственности в размере трех процентов от списочной численности работников организации. </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курирующего (вопросы социальной сферы) заместителя акима города.</w:t>
      </w:r>
      <w:r>
        <w:br/>
      </w:r>
      <w:r>
        <w:rPr>
          <w:rFonts w:ascii="Times New Roman"/>
          <w:b w:val="false"/>
          <w:i w:val="false"/>
          <w:color w:val="000000"/>
          <w:sz w:val="28"/>
        </w:rPr>
        <w:t>
      </w:t>
      </w:r>
      <w:r>
        <w:rPr>
          <w:rFonts w:ascii="Times New Roman"/>
          <w:b w:val="false"/>
          <w:i w:val="false"/>
          <w:color w:val="000000"/>
          <w:sz w:val="28"/>
        </w:rPr>
        <w:t xml:space="preserve">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Кайнарбеков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