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998b8" w14:textId="d2998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"Предоставление бесплатного питания отдельным категориям граждан, а также лицам, находящимся под опекой (попечительством) и патронатом, обучающимся и воспитанникам организаций технического и профессионального, послесреднего и высшего образования"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28 ноября 2017 года № 385/6. Зарегистрировано Департаментом юстиции Павлодарской области 13 декабря 2017 года № 5734. Утратило силу постановлением акимата Павлодарской области от 30 октября 2020 года № 231/5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Павлодарской области от 30.10.2020 № 231/5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 акимат Павлодарской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"Предоставление бесплатного питания отдельным категориям граждан, а также лицам, находящимся под опекой (попечительством) и патронатом, обучающимся и воспитанникам организаций технического и профессионального, послесреднего и высшего образования".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образования Павлодарской области"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настоящего постановления на интернет-ресурсе акимата Павлодарской области.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Бегентаева М.М.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Бакауов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 от "28"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ноября 2017 года № 385/6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"Предоставление бесплатного</w:t>
      </w:r>
      <w:r>
        <w:br/>
      </w:r>
      <w:r>
        <w:rPr>
          <w:rFonts w:ascii="Times New Roman"/>
          <w:b/>
          <w:i w:val="false"/>
          <w:color w:val="000000"/>
        </w:rPr>
        <w:t>питания отдельным категориям граждан, а также лицам, находящимся</w:t>
      </w:r>
      <w:r>
        <w:br/>
      </w:r>
      <w:r>
        <w:rPr>
          <w:rFonts w:ascii="Times New Roman"/>
          <w:b/>
          <w:i w:val="false"/>
          <w:color w:val="000000"/>
        </w:rPr>
        <w:t>под опекой (попечительством) и патронатом, обучающимся</w:t>
      </w:r>
      <w:r>
        <w:br/>
      </w:r>
      <w:r>
        <w:rPr>
          <w:rFonts w:ascii="Times New Roman"/>
          <w:b/>
          <w:i w:val="false"/>
          <w:color w:val="000000"/>
        </w:rPr>
        <w:t>и воспитанникам организаций технического и</w:t>
      </w:r>
      <w:r>
        <w:br/>
      </w:r>
      <w:r>
        <w:rPr>
          <w:rFonts w:ascii="Times New Roman"/>
          <w:b/>
          <w:i w:val="false"/>
          <w:color w:val="000000"/>
        </w:rPr>
        <w:t>профессионального, послесреднего и высшего образования"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- в редакции постановления акимата Павлодарской области от 13.11.2019 </w:t>
      </w:r>
      <w:r>
        <w:rPr>
          <w:rFonts w:ascii="Times New Roman"/>
          <w:b w:val="false"/>
          <w:i w:val="false"/>
          <w:color w:val="ff0000"/>
          <w:sz w:val="28"/>
        </w:rPr>
        <w:t>№ 330/3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"Предоставление бесплатного питания отдельным категориям граждан, а также лицам, находящимся под опекой (попечительством) и патронатом, обучающимся и воспитанникам организаций технического и профессионального, послесреднего и высшего образования" (далее - государственная услуга) оказывается организациями технического и профессионального, послесреднего образования, высшими учебными заведениями Павлодарской области (далее - услугодатель).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некоммерческое акционерное общество "Государственная корпорация "Правительство для граждан" (далее - Государственная корпорация)";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веб-портал "электронного правительства".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- уведомление о предоставлении бесплатного питания (далее - Уведомление)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"Предоставление бесплатного питания отдельным категориям граждан, а также лицам, находящимся под опекой (попечительством) и патронатом, обучающимся и воспитанникам организаций технического и профессионального, послесреднего и высшего образования" (далее - Стандарт),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7 августа 2017 года № 396 (зарегистрирован в Реестре государственной регистрации нормативных правовых актов за № 15744).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электронная/бумажная.</w:t>
      </w:r>
    </w:p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 государственной услуги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заявление услугополучателя с предоставлением необходимых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ее выполнения: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осуществляет прием и регистрацию полученных документов и передает на рассмотрение руководителю услугодателя – 15 (пятнадцать)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представления услугополучателем неполного пакета документов,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(или) документов с истекшим сроком действия услугодатель выдает расписку об отказе в приеме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рассматривает документы и определяет ответственного исполнителя услугодателя – 15 (пятнадцать)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ответственный исполнитель услугодателя оформляет Уведомление или мотивированный ответ об отказе в оказании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– 8 (восемь) календарных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рассматривает документы и подписывает результат оказания государственной услуги – 15 (пятнадцать)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сотрудник канцелярии услугодателя регистрирует и направляет результат оказания государственной услуги услугополучателю или в Государственную корпорацию либо посредством портала в "личный кабинет" услугополучателя – 15 (пятнадцать) минут.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принять, зарегистрировать документы и передать на рассмотрение руководителю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рассмотреть документы и определить ответственного исполнителя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подготовить Уведомление либо мотивированный ответ об отказе в оказании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рассмотреть и подписать результат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зарегистрировать и направить результат оказания государственной услуги.</w:t>
      </w:r>
    </w:p>
    <w:bookmarkStart w:name="z1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 государственной услуги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сопровождается таблицей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6"/>
    <w:bookmarkStart w:name="z1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</w:t>
      </w:r>
      <w:r>
        <w:br/>
      </w:r>
      <w:r>
        <w:rPr>
          <w:rFonts w:ascii="Times New Roman"/>
          <w:b/>
          <w:i w:val="false"/>
          <w:color w:val="000000"/>
        </w:rPr>
        <w:t>и (или) иными услугодателями, а также порядка использования</w:t>
      </w:r>
      <w:r>
        <w:br/>
      </w:r>
      <w:r>
        <w:rPr>
          <w:rFonts w:ascii="Times New Roman"/>
          <w:b/>
          <w:i w:val="false"/>
          <w:color w:val="000000"/>
        </w:rPr>
        <w:t>информационных систем в процессе оказания государственной услуги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в Государственную корпорацию и (или) к иным услугодателям, длительность обработки запроса услугодателя: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для получения государственной услуги услугополучатель подает необходимые документы,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оператору Государственной корпорации.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предоставления услугополучателем неполного пакета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работник Государственной корпорации отказывает в приеме заявления и выдает расписку об отказе в приеме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ввод оператором Государственной корпорации логина и пароля (процесс авторизации) для оказания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процесс 2 – выбор оператором Государственной корпорации услуги, а также данных представителя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3 – направление запроса через шлюз электронного правительства (далее - ШЭП) в государственную базу данных физических лиц (далее – ГБД ФЛ) о данных услугополучателя (одного из родителей или законных представителей);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условие 1 – проверка наличия данных услугополучателя в ГБД ФЛ;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процесс 4 – формирование сообщения о невозможности получения данных в связи с отсутствием данных услугополучателя в ГБД ФЛ;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5 – направление электронного документа (запроса услугополучателя), удостоверенного (подписанного) электронной цифровой подписью (далее – ЭЦП) оператора Государственной корпорации, через ШЭП в автоматизированное рабочее место регионального шлюза электронного правительства (далее – АРМ РШЭП).</w:t>
      </w:r>
    </w:p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Описание процесса получения результата оказания государственной услуги через Государственную корпорацию, его длительность: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Государственной корпорации производит регистрацию заявления и иных документов услугополучателя, необходимых для оказания государственной услуги, и направляет услугодателю в электронной форме копий документов посредством информационной системы, удостоверенных ЭЦП работника Государственной корпорации – 15 (пятнадцать)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 канцелярии услугодателя осуществляет прием и регистрацию полученных документов и передает на рассмотрение руководителю услугодателя – 15 (пятнадцать)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представления услугополучателем неполного пакета документов, согласно перечню,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(или) документов с истекшим сроком действия услугодатель выдает расписку об отказе в приеме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услугодателя рассматривает документы и определяет ответственного исполнителя услугодателя – 15 (пятнадцать)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ответственный исполнитель услугодателя оформляет Уведомление или мотивированный ответ об отказе в оказании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– 8 (восемь) календарных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услугодателя рассматривает документы и подписывает результат оказания государственной услуги – 15 (пятнадцать)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 канцелярии услугодателя регистрирует и направляет результат оказания государственной услуги услугополучателю или в Государственную корпорацию либо посредством портала в "личный кабинет" услугополучателя – 15 (пятнадцать)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Государственной корпорации выдает результат оказания государственной услуги услугополучателю – 15 (пятнадцать) минут.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портале с помощью индивидуального идентификационного номера (далее – ИИН), а также пароля;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ввод услугополучателем ИИН и пароля (процесс авторизации) на портале для получения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портале подлинности данных о зарегистрированном услугополучателе через ИИН и пароль;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порталом сообщения об отказе в авторизации в связи с имеющимися нарушениями в данных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процесс 3 – выбор услугополучателем услуги, указанной в настоящем регламенте,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выбор услугополучателем регистрационного свидетельства ЭЦП для удостоверения (подписания) запроса;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 портале срока действия регистрационного свидетельства ЭЦП и отсутствия в списке отозванных (аннулированных) данных (между ИИН, указанным в запросе, и ИИН, указанным в регистрационном свидетельстве ЭЦП);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4 – формирование сообщения об отказе в запрашиваемой услуге в связи с неподтверждением подлинности ЭЦП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5 – направление электронного документа (запроса услугополучателя), удостоверенного (подписанного) ЭЦП услугополучателя, через шлюз электронного правительства в автоматизированное рабочее место регионального шлюза электронного правительства (ШЭП в АРМ РШЭП) для обработки запроса услугодателем;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условие 3 – проверка услугодателем соответствия приложенных услугополучателем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и основания для отказа в оказании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процесс 6 – формирование сообщения об отказе в запрашиваемой услуге в связи с имеющимися нарушениями в документах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процесс 7 – получение услугополучателем результата услуги (уведомление в форме электронного документа), сформированной АРМ РШЭП.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оказания государственной услуги направляется услугополучателю в "личный кабинет" в форме электронного документа, удостоверенного ЭЦП уполномоченного лица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Функциональные взаимодействия информационных систем, задействованных при оказании государственной услуги через портал, приведены диаграммой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использования информационных систем в процессе оказания государственной услуги отражается в справочнике бизнес-процессов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"Предоставление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бесплатного 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граждан, а также лицам,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находящимся под опекой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(попечительством)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патронатом, обучающимся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воспитанникам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послесреднего и высшего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образования"</w:t>
            </w:r>
          </w:p>
        </w:tc>
      </w:tr>
    </w:tbl>
    <w:bookmarkStart w:name="z2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последовательности процедур (действий)</w:t>
      </w:r>
      <w:r>
        <w:br/>
      </w:r>
      <w:r>
        <w:rPr>
          <w:rFonts w:ascii="Times New Roman"/>
          <w:b/>
          <w:i w:val="false"/>
          <w:color w:val="000000"/>
        </w:rPr>
        <w:t>между структурными подразделениями (работниками)</w:t>
      </w:r>
      <w:r>
        <w:br/>
      </w:r>
      <w:r>
        <w:rPr>
          <w:rFonts w:ascii="Times New Roman"/>
          <w:b/>
          <w:i w:val="false"/>
          <w:color w:val="000000"/>
        </w:rPr>
        <w:t>с указанием длительности каждой процедуры (действия)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9"/>
        <w:gridCol w:w="1771"/>
        <w:gridCol w:w="1820"/>
        <w:gridCol w:w="1480"/>
        <w:gridCol w:w="3698"/>
        <w:gridCol w:w="1480"/>
        <w:gridCol w:w="1532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действия (хода, потока, работ)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Структурные подразделения (работники)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канцелярии услугодателя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услугодателя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 услугодателя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услугодателя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канцелярии услугодателя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действия (процесса, процедуры операции) и их описание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Осуществляет прием и регистрацию полученных документов и передает на рассмотрение руководителю услугодателя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документы и определяет ответственного исполнителя услугодателя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Оформляет Уведомление или мотивированный ответ об отказе в оказании государственной услуги в случаях и по основаниям, предусмотренным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Стандарта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документы и подписывает результат оказания государственной услуги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Регистрирует и направляет результат оказания государственной услуги в Государственную корпорацию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Передает документы на рассмотрение руководителю услугодателя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Передает документы на рассмотрение ответственному исполнителю услугодателя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Передает Уведомление или мотивированный ответ об отказе в оказании государственной услуги на рассмотрение и подписание руководителю услугодателя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Передает документы на рассмотрение сотруднику канцелярии услугодателя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Выдает результат оказания государственной услуги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исполнения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(пятнадцать) минут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(пятнадцать) минут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(восемь) календарных дней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(пятнадцать) минут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(пятнадцать) минут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(десять) календарных дней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"Предоставление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бесплатного 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граждан, а также лицам,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находящимся под опекой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(попечительством)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патронатом, обучающимся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воспитанникам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послесреднего и высшего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образования"</w:t>
            </w:r>
          </w:p>
        </w:tc>
      </w:tr>
    </w:tbl>
    <w:bookmarkStart w:name="z2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</w:t>
      </w:r>
      <w:r>
        <w:br/>
      </w:r>
      <w:r>
        <w:rPr>
          <w:rFonts w:ascii="Times New Roman"/>
          <w:b/>
          <w:i w:val="false"/>
          <w:color w:val="000000"/>
        </w:rPr>
        <w:t xml:space="preserve">задействованных в оказании государственной услуги через портал </w:t>
      </w:r>
    </w:p>
    <w:bookmarkEnd w:id="23"/>
    <w:p>
      <w:pPr>
        <w:spacing w:after="0"/>
        <w:ind w:left="0"/>
        <w:jc w:val="both"/>
      </w:pPr>
      <w:r>
        <w:drawing>
          <wp:inline distT="0" distB="0" distL="0" distR="0">
            <wp:extent cx="7810500" cy="3759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5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2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 </w:t>
      </w:r>
    </w:p>
    <w:bookmarkEnd w:id="24"/>
    <w:p>
      <w:pPr>
        <w:spacing w:after="0"/>
        <w:ind w:left="0"/>
        <w:jc w:val="both"/>
      </w:pPr>
      <w:r>
        <w:drawing>
          <wp:inline distT="0" distB="0" distL="0" distR="0">
            <wp:extent cx="7810500" cy="5803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80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"Предоставление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бесплатного 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граждан, а также лицам,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находящимся под опекой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(попечительством)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патронатом, обучающимся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воспитанникам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послесреднего и высшего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образования"</w:t>
            </w:r>
          </w:p>
        </w:tc>
      </w:tr>
    </w:tbl>
    <w:bookmarkStart w:name="z30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"Предоставление бесплатного питания отдельным категориям граждан,</w:t>
      </w:r>
      <w:r>
        <w:br/>
      </w:r>
      <w:r>
        <w:rPr>
          <w:rFonts w:ascii="Times New Roman"/>
          <w:b/>
          <w:i w:val="false"/>
          <w:color w:val="000000"/>
        </w:rPr>
        <w:t>а также лицам, находящимся под опекой (попечительством)</w:t>
      </w:r>
      <w:r>
        <w:br/>
      </w:r>
      <w:r>
        <w:rPr>
          <w:rFonts w:ascii="Times New Roman"/>
          <w:b/>
          <w:i w:val="false"/>
          <w:color w:val="000000"/>
        </w:rPr>
        <w:t>и патронатом, обучающимся и воспитанникам организаций</w:t>
      </w:r>
      <w:r>
        <w:br/>
      </w:r>
      <w:r>
        <w:rPr>
          <w:rFonts w:ascii="Times New Roman"/>
          <w:b/>
          <w:i w:val="false"/>
          <w:color w:val="000000"/>
        </w:rPr>
        <w:t xml:space="preserve">технического и профессионального, послесреднего и высшего образования" </w:t>
      </w:r>
    </w:p>
    <w:bookmarkEnd w:id="25"/>
    <w:p>
      <w:pPr>
        <w:spacing w:after="0"/>
        <w:ind w:left="0"/>
        <w:jc w:val="both"/>
      </w:pPr>
      <w:r>
        <w:drawing>
          <wp:inline distT="0" distB="0" distL="0" distR="0">
            <wp:extent cx="7810500" cy="435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35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31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 </w:t>
      </w:r>
    </w:p>
    <w:bookmarkEnd w:id="26"/>
    <w:p>
      <w:pPr>
        <w:spacing w:after="0"/>
        <w:ind w:left="0"/>
        <w:jc w:val="both"/>
      </w:pPr>
      <w:r>
        <w:drawing>
          <wp:inline distT="0" distB="0" distL="0" distR="0">
            <wp:extent cx="7810500" cy="2184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18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