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dcc06" w14:textId="54dcc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Байдибекского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Южно-Казахстанской области от 14 апреля 2017 года № 14/87. Зарегистрировано Департаментом юстиции Южно-Казахстанской области 19 апреля 2017 года № 4054. Утратило силу решением Байдибекского районного маслихата Южно-Казахстанской области от 27 апреля 2018 года № 27/165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Байдибекского районного маслихата Южно-Казахстанской области от 27.04.2018 № 27/165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служащих", зарегистрированного в Реестре государственной регистрации нормативных правовых актов за № 14637, Байдибекский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Байдибекского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Байдибекского районного маслихата от 9 марта 2016 года № 49/269 "Об утверждении Методики оценки деятельности административных государственных служащих корпуса "Б" аппарата Байдибекского районного маслихата" (зарегистрировано в Реестре государственной регистрации нормативных правовых актов № 3698, опубликовано в газете "Шаян" от 3 мая 2016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Ашрафи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Нахипбеков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апреля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14/87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</w:t>
      </w:r>
      <w:r>
        <w:br/>
      </w:r>
      <w:r>
        <w:rPr>
          <w:rFonts w:ascii="Times New Roman"/>
          <w:b/>
          <w:i w:val="false"/>
          <w:color w:val="000000"/>
        </w:rPr>
        <w:t>корпуса "Б" аппарата Байдибекского районного маслихата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аппарата Байдибекского районного маслихата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аппарата Байдибекского районного маслихата (далее – служащие корпуса "Б").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ответственный специалист за службу управления персоналом.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ответственный специалист за службу управления персоналом. Секретарь Комиссии по оценке не принимает участие в голосовании.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ответственному специалисту за службой управления персоналом. Второй экземпляр находится у руководителя структурного подразделения служащего корпуса "Б".</w:t>
      </w:r>
    </w:p>
    <w:bookmarkEnd w:id="19"/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Ответственный специалист за службу управления персоналом формирует график проведения оценки по согласованию с председателем Комиссии по оценке.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за службу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ответственного специалиста за службу управления персоналом и непосредственного руководителя служащего корпуса "Б".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ответственным специалистом за службу управления персоналом,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ответственным специалистом за службу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0066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штрафные баллы.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80 баллов – "неудовлетворительно",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80 до 105 (включительно) баллов – "удовлетворительно",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106 до 130 (включительно) баллов – "эффективно",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130 баллов – "превосходно".</w:t>
      </w:r>
    </w:p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ответственным специалистом за службой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ответственным специалистом за службой управления персоналом не позднее пяти рабочих дней до заседания Комиссии по оценке по следующей формуле: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492500" cy="82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01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382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средняя оценка за отчетные кварталы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028700" cy="71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Итоговая годовая оценка выставляется по следующей шкале: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3 баллов – "неудовлетворительно",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3 до 3,9 баллов – "удовлетворительно",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4 до 4,9 баллов – "эффективно",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– "превосходно".</w:t>
      </w:r>
    </w:p>
    <w:bookmarkStart w:name="z4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Ответственный специалист за службу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за службу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Ответственный специалист за службу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ответственным специалистом за службой управления персоналом в произвольной форме составляется акт об отказе от ознакомления.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ответственного специалиста за службой управления персоналом.</w:t>
      </w:r>
    </w:p>
    <w:bookmarkEnd w:id="47"/>
    <w:bookmarkStart w:name="z5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52"/>
    <w:bookmarkStart w:name="z5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Байдибекского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 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служащего)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- Целевые показатели определяются с учетом их направленности на достижение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стратегической цели (целей) государственного органа, а в случае ее (их) отсутствия, исходя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половины измеримых.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Байдибекского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</w:t>
      </w:r>
      <w:r>
        <w:rPr>
          <w:rFonts w:ascii="Times New Roman"/>
          <w:b w:val="false"/>
          <w:i/>
          <w:color w:val="000000"/>
          <w:sz w:val="28"/>
        </w:rPr>
        <w:t xml:space="preserve">(при его наличии) </w:t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1997"/>
        <w:gridCol w:w="1734"/>
        <w:gridCol w:w="1735"/>
        <w:gridCol w:w="1998"/>
        <w:gridCol w:w="1735"/>
        <w:gridCol w:w="1735"/>
        <w:gridCol w:w="421"/>
      </w:tblGrid>
      <w:tr>
        <w:trPr>
          <w:trHeight w:val="30" w:hRule="atLeast"/>
        </w:trPr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Байдибекского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</w:t>
      </w:r>
      <w:r>
        <w:rPr>
          <w:rFonts w:ascii="Times New Roman"/>
          <w:b w:val="false"/>
          <w:i/>
          <w:color w:val="000000"/>
          <w:sz w:val="28"/>
        </w:rPr>
        <w:t>оцениваемый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Байдибекского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(вид оценки: квартальная/годовая и оцениваемый период (квартал и (или)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46"/>
        <w:gridCol w:w="5057"/>
        <w:gridCol w:w="1847"/>
        <w:gridCol w:w="2541"/>
        <w:gridCol w:w="1009"/>
      </w:tblGrid>
      <w:tr>
        <w:trPr>
          <w:trHeight w:val="30" w:hRule="atLeast"/>
        </w:trPr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0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служащих</w:t>
            </w:r>
          </w:p>
        </w:tc>
        <w:tc>
          <w:tcPr>
            <w:tcW w:w="18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случае наличия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50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