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6369" w14:textId="a856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 в Буландынском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25 декабря 2018 года № А-12/390. Зарегистрировано Департаментом юстиции Акмолинской области 27 декабря 2018 года № 6981. Утратило силу постановлением акимата Буландынского района Акмолинской области от 1 марта 2019 года № А-03/61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Буландынского района Акмолинской области от 01.03.2019 </w:t>
      </w:r>
      <w:r>
        <w:rPr>
          <w:rFonts w:ascii="Times New Roman"/>
          <w:b w:val="false"/>
          <w:i w:val="false"/>
          <w:color w:val="ff0000"/>
          <w:sz w:val="28"/>
        </w:rPr>
        <w:t>№ А-03/61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от 9 июля 2004 года "Об участии граждан в обеспечении общественного порядка", акимат Буландынского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Буландынском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Тасылбекову Б. Ш.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полиции Буландынского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полиции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декабря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А-12/390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</w:t>
      </w:r>
      <w:r>
        <w:br/>
      </w:r>
      <w:r>
        <w:rPr>
          <w:rFonts w:ascii="Times New Roman"/>
          <w:b/>
          <w:i w:val="false"/>
          <w:color w:val="000000"/>
        </w:rPr>
        <w:t>участвующих в обеспечении общественного порядка в Буландынском районе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Виды поощрений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Благодарственное письмо акима Буландынского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Денежное вознаграждение.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поощрений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порядок регулирует вопросы организации поощрения граждан, участвующих в охране общественного порядка в Буландынском районе.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Вопросы поощрения граждан, участвующих в обеспечении общественного порядка, рассматриваются комиссией, создаваемой постановлением акимата Буландынского района (далее - комиссия).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"Отдел полиции Буландынского района Департамента полиции Акмолинской области Министерства внутренних дел Республики Казахстан" (далее - ОП).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поощрения является протокольное решение, принимаемое комиссией.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денежного вознаграждения производится ОП за счет средств областного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выплаты денежного вознаграждения дополнительно издается приказ начальника ОП согласно решению, принятому комиссией.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Вручение благодарственного письма акима Буландынского района, денежного вознаграждения гражданам за вклад в обеспечении общественного порядка осуществляется ОП в торжественной обстановке.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денежного вознаграждения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денежного вознаграждения устанавливается комиссией с учетом внесенного поощряемым вклада в обеспечение общественного порядка, а также объема ущерба, который мог быть нанесен в результате противоправного действия, которое было пресечено им или с его участием и не превышает 20 кратного месячного расчетного показателя.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