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6044c" w14:textId="45604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приказ исполняющего обязанности Министра энергетики Республики Казахстан от 6 января 2017 года № 2 "Об утверждении нормативных технических документов в области электроэнергетики"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9 декабря 2019 года № 404. Зарегистрирован в Министерстве юстиции Республики Казахстан 18 декабря 2019 года № 19739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энергетики Республики Казахстан от 6 января 2017 года № 2 "Об утверждении нормативных технических документов в области электроэнергетики" (зарегистрирован в Реестре государственной регистрации нормативных правовых актов за № 15045) следующее изменение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 Утвердить: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Методику расчета норм расхода газомазутного топлива при сжигании бурых углей с выходом летучих веществ более 30 % на тепловых электростанциях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Методику расчета норм расхода газомазутного топлива при сжигании каменных углей с выходом летучих веществ менее 20 % на тепловых электростанциях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Методику расчета норм расхода пара и конденсата на собственные нужды энергоблоков тепловых электростанций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 Методику расчета норм расхода электроэнергии на собственные нужды подстанций напряжением 35-500 киловольт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 Методику расчета норм расхода тепла на технологические нужды водоподготовительных установок тепловых электростанций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 Методику расчета норм расхода материалов и изделий на ремонт подстанций напряжением до 220 киловольт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 Методические указания по определению классификации производственных помещений тепловых электростанций по допустимым уровням шума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 Методические указания по эксплуатации гидротехнических сооружений систем технического водоснабжения тепловых электростанций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 Методические указания по расследованию причин повреждений металла лопаточного аппарата, дисков и роторов паровых турбин тепловых электростанций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 Методические указания по оптимизации оборотной системы водоснабжения электростанций с градирнями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 Методические указания по наладке систем технического водоснабжения тепловых электростанций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 Методические указания по эксплуатации аспирационных установок топливоподачи тепловых электростанций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 Методические указания по эксплуатации водогрейных котлов с внешними теплообменниками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 Методические указания по наладке и эксплуатации систем шариковой очистки конденсаторов паровых турбин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 Методические указания по обследованию баков аккумуляторов горячей воды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 Методические указания по диагностике автотрансформаторов и их вводов на рабочем напряжении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 Методические указания по диагностике силовых трансформаторов и их вводов на рабочем напряжении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 Методические указания по диагностике шунтирующих реакторов и их вводов на рабочем напряжении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 Методические указания по перемаркировке основного энергетического оборудования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 Методические указания по предупреждению низкотемпературной коррозии поверхностей нагрева и газоходов котлов электростанций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 Методические указания по эксплуатации вакуумных выключателей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 Методические указания по эксплуатации элегазовых выключателей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 Методические указания по эксплуатации разъединителей 6-500 киловольт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 Методические указания по эксплуатации воздушных линий электропередачи напряжением 35-110 киловольт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 Методические указания по эксплуатации воздушных линий электропередачи напряжением 220-500-1150 киловольт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 Методические указания по эксплуатации силовых кабельных линий напряжением до 35 киловольт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 Методические указания по эксплуатации силовых трансформаторов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 Методические указания по эксплуатации комплектных распределительных элегазовых устройств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 Методические указания по эксплуатации масляных выключателей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30) Методические указания по проведению энергетических обследований тепловых сетей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31) Методические указания по проведению энергетических обследований электрических станций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32) Методические указания по проведению энергетических обследований электрических сетей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33) Методические указания по расчету поправок к расходу тепла турбоагрегатами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34) Методические указания по проведению энергетических обследований районных котельных с установленной мощностью 100 гигакалорий в час и более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35) Методические указания по проведению энергетических обследований электроустановок потребителей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36) Методические указания по оценке технического состояния воздушных линий электропередачи напряжением от 35 до 1150 киловольт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37) Методические указания по организации работы по технике безопасности на электростанциях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38) Методику расчета норм расхода комплексонов для обработки сетевой воды и подготовки воды для подпитки тепловых сетей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39) Методику расчета норм расхода материалов на текущий ремонт основного энергетического оборудования электростанций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40) Методику расчета норм расхода материалов и изделий на техническое обслуживание подстанций напряжением до 220 киловольт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41) Методику расчета норм аварийного запаса частей мачтовых и комплектных трансформаторных подстанций 6-20/0,4 киловольт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42) Методику расчета норм материально-технических ресурсов и оборудования для закрытых трансформаторных подстанций 6-20/0,4 киловольт и распределительных пунктов 6-20 киловольт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 Методику расчета норм расхода жидкого топлива на тепловых электростанциях и котельных согласно приложению 43 к настоящему приказу.";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43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Департаменту развития электроэнергетики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государственную регистрацию настоящего приказа в Министерстве юстиции Республики Казахстан;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размещение настоящего приказа на интернет-ресурсе Министерства энергетики Республики Казахстан;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приказа возложить на курирующего вице-министра энергетики Республики Казахстан.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индустрии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инфраструктурного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2019 года № 404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2017 года № 2</w:t>
            </w:r>
          </w:p>
        </w:tc>
      </w:tr>
    </w:tbl>
    <w:bookmarkStart w:name="z62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расчета норм расхода жидкого топлива на тепловых электростанциях и котельных</w:t>
      </w:r>
    </w:p>
    <w:bookmarkEnd w:id="54"/>
    <w:bookmarkStart w:name="z63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Настоящая Методика расчета норм расхода жидкого топлива на тепловых электростанциях и котельных (далее – Методика) разработана в соответствии с подпунктом 70-14)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2004 года "Об электроэнергетике".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В настоящей Методике применяются следующие основные понятия и определения: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тепловая нагрузка — количество тепловой энергии, принимаемое теплопотребляющей установкой за единицу времени;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условное топливо — единица учета тепловой ценности топлива, применяемая для сопоставления различных видов топлива.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понятия и определения, используемые в настоящей Методике, применяются в соответствии с законодательством Республики Казахстан в области электроэнергетики.</w:t>
      </w:r>
    </w:p>
    <w:bookmarkEnd w:id="60"/>
    <w:bookmarkStart w:name="z69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Область применения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Настоящая Методика разработана для использования при прогнозировании и планировании потребности в жидком топливе на тепловых электростанциях и котельных, работающих на жидком топливе.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Расчет норм расхода газомазутного топлива на растопку котлов производится в соответствии с Методикой расчета норм расхода газомазутного топлива при сжигании бурых углей с выходом летучих веществ более 30 % на тепловых электростанциях и Методикой расчета норм расхода газомазутного топлива при сжигании каменных углей с выходом летучих веществ менее 20 % на тепловых электростанциях, утвержденными настоящим приказом.</w:t>
      </w:r>
    </w:p>
    <w:bookmarkEnd w:id="63"/>
    <w:bookmarkStart w:name="z72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Расчет норм расхода жидкого топлива на тепловых электростанциях и котельных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Годовой расход топлива на тепловых электростанциях и котельных определяется по формуле: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6"/>
    <w:p>
      <w:pPr>
        <w:spacing w:after="0"/>
        <w:ind w:left="0"/>
        <w:jc w:val="both"/>
      </w:pPr>
      <w:r>
        <w:drawing>
          <wp:inline distT="0" distB="0" distL="0" distR="0">
            <wp:extent cx="6807200" cy="240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072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 Вгод – годовой расход топлива на электростанциях, тонна (далее - т);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8"/>
    <w:p>
      <w:pPr>
        <w:spacing w:after="0"/>
        <w:ind w:left="0"/>
        <w:jc w:val="both"/>
      </w:pPr>
      <w:r>
        <w:drawing>
          <wp:inline distT="0" distB="0" distL="0" distR="0">
            <wp:extent cx="495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удельный расход условного топлива, на выработку теплоты, килограмм условного топлива на гигакалорию (далее - кг у.т/Гкал);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9"/>
    <w:p>
      <w:pPr>
        <w:spacing w:after="0"/>
        <w:ind w:left="0"/>
        <w:jc w:val="both"/>
      </w:pPr>
      <w:r>
        <w:drawing>
          <wp:inline distT="0" distB="0" distL="0" distR="0">
            <wp:extent cx="4572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расход топлива на выработку тепловой энергии, 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0"/>
    <w:p>
      <w:pPr>
        <w:spacing w:after="0"/>
        <w:ind w:left="0"/>
        <w:jc w:val="both"/>
      </w:pPr>
      <w:r>
        <w:drawing>
          <wp:inline distT="0" distB="0" distL="0" distR="0">
            <wp:extent cx="4699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расход топлива на выработку электрической энергии, 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1"/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количество тепловой энергии, необходимой для отопления зданий на планируемый период с учетом расхода тепловой энергии для собственных нужд, гигакалорий (далее - Гкал);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 –выработка электроэнергии киловатт час (далее - кВт·ч);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 – средний калорийный эквивалент для пересчета одной тонны (тысячи м3 ) натурального топлива в условную единицу;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4"/>
    <w:p>
      <w:pPr>
        <w:spacing w:after="0"/>
        <w:ind w:left="0"/>
        <w:jc w:val="both"/>
      </w:pPr>
      <w:r>
        <w:drawing>
          <wp:inline distT="0" distB="0" distL="0" distR="0">
            <wp:extent cx="10541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низшая теплота сгорания натурального и условного топлива, килокалорий на килограмм (кубический метр) (далее - ккал/кг(м3)).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 котельных, работающих только на жидком топливе (мазут) при вхождении в отопительный период, пуск котельной осуществляется путем растопки одного из котлов на дизельном топливе для подготовки мазутного хозяйства и запуска котлов на мазуте.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расчете расходов жидкого топлива необходимо учитывать время работы котла на дизельном топливе для подготовки мазутного хозяйства.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Удельный расход условного топлива определяется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Методическими указаниями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анализу изменения удельных расходов топлива на электростанциях, утвержденными приказом Министра энергетики Республики Казахстан от 30 декабря 2016 года № 580 (зарегистрирован в Реестре государственной регистрации нормативных правовых актов за № 14771).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Приближенный удельный расход условного топлива определяется по формуле: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9"/>
    <w:p>
      <w:pPr>
        <w:spacing w:after="0"/>
        <w:ind w:left="0"/>
        <w:jc w:val="both"/>
      </w:pPr>
      <w:r>
        <w:drawing>
          <wp:inline distT="0" distB="0" distL="0" distR="0">
            <wp:extent cx="7810500" cy="118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 </w:t>
      </w:r>
    </w:p>
    <w:bookmarkEnd w:id="80"/>
    <w:p>
      <w:pPr>
        <w:spacing w:after="0"/>
        <w:ind w:left="0"/>
        <w:jc w:val="both"/>
      </w:pPr>
      <w:r>
        <w:drawing>
          <wp:inline distT="0" distB="0" distL="0" distR="0">
            <wp:extent cx="4445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удельный расход условного топлива, на выработку теплоты, кг у.т/Гкал;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1"/>
    <w:p>
      <w:pPr>
        <w:spacing w:after="0"/>
        <w:ind w:left="0"/>
        <w:jc w:val="both"/>
      </w:pPr>
      <w:r>
        <w:drawing>
          <wp:inline distT="0" distB="0" distL="0" distR="0">
            <wp:extent cx="4572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–удельный расход топлива на выработку электрической энергии, грамм условного топлива на киловатт в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2"/>
    <w:p>
      <w:pPr>
        <w:spacing w:after="0"/>
        <w:ind w:left="0"/>
        <w:jc w:val="both"/>
      </w:pPr>
      <w:r>
        <w:drawing>
          <wp:inline distT="0" distB="0" distL="0" distR="0">
            <wp:extent cx="4318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КПД котельной;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3"/>
    <w:p>
      <w:pPr>
        <w:spacing w:after="0"/>
        <w:ind w:left="0"/>
        <w:jc w:val="both"/>
      </w:pPr>
      <w:r>
        <w:drawing>
          <wp:inline distT="0" distB="0" distL="0" distR="0">
            <wp:extent cx="5715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КПД электростанции.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Количество тепловой энергии, необходимой для отопления зданий на планируемый период с учетом собственных нужд (отопительный период в целом, квартал, месяц, сутки), определяется по формуле: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5"/>
    <w:p>
      <w:pPr>
        <w:spacing w:after="0"/>
        <w:ind w:left="0"/>
        <w:jc w:val="both"/>
      </w:pPr>
      <w:r>
        <w:drawing>
          <wp:inline distT="0" distB="0" distL="0" distR="0">
            <wp:extent cx="7810500" cy="59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 </w:t>
      </w:r>
    </w:p>
    <w:bookmarkEnd w:id="86"/>
    <w:p>
      <w:pPr>
        <w:spacing w:after="0"/>
        <w:ind w:left="0"/>
        <w:jc w:val="both"/>
      </w:pPr>
      <w:r>
        <w:drawing>
          <wp:inline distT="0" distB="0" distL="0" distR="0">
            <wp:extent cx="6985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расчетное значение часовой тепловой нагрузки отопления, Гкал/час, принимается по проекту зданий, подключенных к энергопроизводящей организации; при отсутствии проектных данных - по укрупненным показателям с учетом удельной отопительной характеристики;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7"/>
    <w:p>
      <w:pPr>
        <w:spacing w:after="0"/>
        <w:ind w:left="0"/>
        <w:jc w:val="both"/>
      </w:pPr>
      <w:r>
        <w:drawing>
          <wp:inline distT="0" distB="0" distL="0" distR="0">
            <wp:extent cx="2032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усредненное расчетное значение температуры воздуха внутри отапливаемых зданий, принимаемое в соответствии с СН РК 2.04-21-2004 "Энергопотребление и тепловая защита гражданских зданий" (далее – СН РК 2.04-21-2004), 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QСН–расчетное значение общего расхода тепловой энергии на собственные нужды, Гкал;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9"/>
    <w:p>
      <w:pPr>
        <w:spacing w:after="0"/>
        <w:ind w:left="0"/>
        <w:jc w:val="both"/>
      </w:pPr>
      <w:r>
        <w:drawing>
          <wp:inline distT="0" distB="0" distL="0" distR="0">
            <wp:extent cx="2540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расчетное значение максимально низкой температуры наружного воздуха за отопительный период для проектирования отопления в конкретной местности, принимаемое в соответствии с СН РК 2.04-21-2004, 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0"/>
    <w:p>
      <w:pPr>
        <w:spacing w:after="0"/>
        <w:ind w:left="0"/>
        <w:jc w:val="both"/>
      </w:pPr>
      <w:r>
        <w:drawing>
          <wp:inline distT="0" distB="0" distL="0" distR="0">
            <wp:extent cx="3429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среднее значение температуры наружного воздуха за планируемый отопительный период, принимаемое в соответствии с СН РК 2.04-21-2004, 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продолжительность функционирования систем отопления в планируемый период, принимаемая в соответствии с СН РК 2.04-21-2004, (сутки);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2"/>
    <w:p>
      <w:pPr>
        <w:spacing w:after="0"/>
        <w:ind w:left="0"/>
        <w:jc w:val="both"/>
      </w:pPr>
      <w:r>
        <w:drawing>
          <wp:inline distT="0" distB="0" distL="0" distR="0">
            <wp:extent cx="495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нормативные технические потери в тепловых сетях.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1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Определение расхода тепловой энергии на собственные нужды тепловых электростанций и котельных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Расход тепловой энергии на собственные нужды тепловых электростанций и котельных определяется опытным (режимно-наладочные и (или) балансовые испытания) или расчетным методом.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общего расхода тепловой энергии на собственные нужды котельных в виде горячей воды или пара входят следующие элементы затрат: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растопка,продувка котлов;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обдувка поверхностей нагрева;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нужды мазутного хозяйства;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технологически и хозяйственные нужды.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расход тепловой энергии на собственные нужды определяется по формуле: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1"/>
    <w:p>
      <w:pPr>
        <w:spacing w:after="0"/>
        <w:ind w:left="0"/>
        <w:jc w:val="both"/>
      </w:pPr>
      <w:r>
        <w:drawing>
          <wp:inline distT="0" distB="0" distL="0" distR="0">
            <wp:extent cx="7683500" cy="43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6835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 </w:t>
      </w:r>
    </w:p>
    <w:bookmarkEnd w:id="102"/>
    <w:p>
      <w:pPr>
        <w:spacing w:after="0"/>
        <w:ind w:left="0"/>
        <w:jc w:val="both"/>
      </w:pPr>
      <w:r>
        <w:drawing>
          <wp:inline distT="0" distB="0" distL="0" distR="0">
            <wp:extent cx="4064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тепловые потери на i-е нужды, Гкал;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- количество статей расхода на собственные нужды энергопроизводящей организации.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расчетном определении расхода тепловой энергии на собственные нужды используются нижеприведенные зависимости.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Расчеты расхода тепловой энергии на собственные нужды выполняются на каждый месяц и в целом на календарный год. При этом расчеты по отдельным статьям расхода тепловой энергии выполняются в целом за год с распределением его по месяцам пропорционально определяющему показателю (выработка тепловой энергии; число часов работы; количество пусков; температура наружного воздуха; длительность отопительного периода и др.).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Исходные данные и результаты расчета по элементам затрат заносятся в отдельные таблицы.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Потери тепловой энергии с продувочной водой зависят от периодичности и продолжительности продувки котла и определяются по формуле: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8"/>
    <w:p>
      <w:pPr>
        <w:spacing w:after="0"/>
        <w:ind w:left="0"/>
        <w:jc w:val="both"/>
      </w:pPr>
      <w:r>
        <w:drawing>
          <wp:inline distT="0" distB="0" distL="0" distR="0">
            <wp:extent cx="62738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273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 </w:t>
      </w:r>
    </w:p>
    <w:bookmarkEnd w:id="109"/>
    <w:p>
      <w:pPr>
        <w:spacing w:after="0"/>
        <w:ind w:left="0"/>
        <w:jc w:val="both"/>
      </w:pPr>
      <w:r>
        <w:drawing>
          <wp:inline distT="0" distB="0" distL="0" distR="0">
            <wp:extent cx="5461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коэффициент продувки i-го котла, принимаемый для непрерывной продувки паровых котлов - 0,01, для периодической продувки паровых котлов - 0,005, водогрейных котлов - 0,003;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0"/>
    <w:p>
      <w:pPr>
        <w:spacing w:after="0"/>
        <w:ind w:left="0"/>
        <w:jc w:val="both"/>
      </w:pPr>
      <w:r>
        <w:drawing>
          <wp:inline distT="0" distB="0" distL="0" distR="0">
            <wp:extent cx="4572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количество тепловой энергии, произведенное котлом за расчетный период Гкал;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Iк - количество котлов.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Расход тепловой энергии за расчетный период на растопку котлов (Гкал) Qраст определяется: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3"/>
    <w:p>
      <w:pPr>
        <w:spacing w:after="0"/>
        <w:ind w:left="0"/>
        <w:jc w:val="both"/>
      </w:pPr>
      <w:r>
        <w:drawing>
          <wp:inline distT="0" distB="0" distL="0" distR="0">
            <wp:extent cx="65405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5405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 Qкі – часовая выработка тепловой энергии i-м котлом (по паспортной характеристике), Гкал;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K' - доля расхода тепловой энергии на одну растопку котла после простоя до 12 часов (из горячего состояния), принимаемая в отопительном периоде - 0,3, в неотопительном - 0,2;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N'і- количество растопок из горячего состояния в расчетном периоде;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K" - доля расхода тепловой энергии на одну растопку котла после простоя свыше 12 часов (из холодного состояния), принимаемая в отопительном периоде - 0,65, в неотопительном - 0,45;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N"і - количество растопок из холодного состояния в расчетном периоде.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Расчетное количество растопок котлов определяется по отчетным данным базового года с внесением коррективов по прогнозируемому режиму потребления тепловой энергии потребителями в расчетном периоде.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Расход тепловой энергии на обдувку поверхностей нагрева паровых котлов, (Гкал), определяют по формуле: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1"/>
    <w:p>
      <w:pPr>
        <w:spacing w:after="0"/>
        <w:ind w:left="0"/>
        <w:jc w:val="both"/>
      </w:pPr>
      <w:r>
        <w:drawing>
          <wp:inline distT="0" distB="0" distL="0" distR="0">
            <wp:extent cx="65278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5278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 Кобд – коэффициент обдувки, принимаемый в размере 0,002 при сжигании твердого топлива и 0,003 – при сжигании мазута;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3"/>
    <w:p>
      <w:pPr>
        <w:spacing w:after="0"/>
        <w:ind w:left="0"/>
        <w:jc w:val="both"/>
      </w:pPr>
      <w:r>
        <w:drawing>
          <wp:inline distT="0" distB="0" distL="0" distR="0">
            <wp:extent cx="3683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средняя за время работы производительность i-го котла, тонн в час (далее – т/ч);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4"/>
    <w:p>
      <w:pPr>
        <w:spacing w:after="0"/>
        <w:ind w:left="0"/>
        <w:jc w:val="both"/>
      </w:pPr>
      <w:r>
        <w:drawing>
          <wp:inline distT="0" distB="0" distL="0" distR="0">
            <wp:extent cx="3302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продолжительность работы i-го котла,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5"/>
    <w:p>
      <w:pPr>
        <w:spacing w:after="0"/>
        <w:ind w:left="0"/>
        <w:jc w:val="both"/>
      </w:pPr>
      <w:r>
        <w:drawing>
          <wp:inline distT="0" distB="0" distL="0" distR="0">
            <wp:extent cx="5969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энтальпия соответственно пара, используемого для обдувки, и питательной воды, килокаллорий на килограмм (далее – ккал/кг);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Ik- количество котлов.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Расход тепла на нужды мазутного хозяйства, (Гкал), определяется как сумма потерь (расходов) тепловой энергии при сливе мазута (Qсл м), обогреве в резервуарах при хранении (Qхр м), обогреве мазутопроводов (Qт м), подогреве в мазутоподогревателях и (или) расходных емкостях (Qп м) и паровом распыле мазута форсунками (Qр м).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8"/>
    <w:p>
      <w:pPr>
        <w:spacing w:after="0"/>
        <w:ind w:left="0"/>
        <w:jc w:val="both"/>
      </w:pPr>
      <w:r>
        <w:drawing>
          <wp:inline distT="0" distB="0" distL="0" distR="0">
            <wp:extent cx="6477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определении Qхр м и Qт м потери (расходы) тепловой энергии, относящиеся к нормативному неснижаемому запасу мазута (ННЗТ), не учитываются. 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Количество тепловой энергии на разогрев мазута при сливе, (Гкал), определяют по формуле: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1"/>
    <w:p>
      <w:pPr>
        <w:spacing w:after="0"/>
        <w:ind w:left="0"/>
        <w:jc w:val="both"/>
      </w:pPr>
      <w:r>
        <w:drawing>
          <wp:inline distT="0" distB="0" distL="0" distR="0">
            <wp:extent cx="6578600" cy="49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5786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 tk - конечная температура подогрева мазута в цистерне, °C, принимается в зависимости от марки мазута;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tн- начальная температура мазута в цистерне, °C;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ko- коэффициент охлаждения, ккал/(м3ч°C), принимается равным 1,65 для цистерн 60 (50) т; 2,2 - для 25-тонной цистерны; 1,15 - при доставке мазута автотранспортом;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rcл- время разогрева и слива из цистерны, ч, принимаемое в зависимости от периода и марки мазута (холодное время года М-40, М-60 - 8 час., М-80, М-100 - 10 час., теплое время - 4 час.);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ро- плотность мазута при начальной температуре, кг/м3;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Мсл- количество сливаемого за расчетный период мазута, т.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Потери тепловой энергии при хранении мазута, (Гкал), рассчитываются по формуле: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9"/>
    <w:p>
      <w:pPr>
        <w:spacing w:after="0"/>
        <w:ind w:left="0"/>
        <w:jc w:val="both"/>
      </w:pPr>
      <w:r>
        <w:drawing>
          <wp:inline distT="0" distB="0" distL="0" distR="0">
            <wp:extent cx="7442200" cy="62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74422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0"/>
    <w:p>
      <w:pPr>
        <w:spacing w:after="0"/>
        <w:ind w:left="0"/>
        <w:jc w:val="both"/>
      </w:pPr>
      <w:r>
        <w:drawing>
          <wp:inline distT="0" distB="0" distL="0" distR="0">
            <wp:extent cx="7340600" cy="60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7340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 F - поверхность охлаждения резервуара, принимается по проектным, паспортным или фактическим данным, квадратный метр (далее - м2);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- коэффициент теплопередачи стенок резервуара, принимаемый для металлических неизолированных резервуаров - 6,0; металлических изолированных - 3,0; для подземных резервуаров - 0,27;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3"/>
    <w:p>
      <w:pPr>
        <w:spacing w:after="0"/>
        <w:ind w:left="0"/>
        <w:jc w:val="both"/>
      </w:pPr>
      <w:r>
        <w:drawing>
          <wp:inline distT="0" distB="0" distL="0" distR="0">
            <wp:extent cx="2921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температура окружающего воздуха, принимается как средняя для расчетного периода (для подземных резервуаров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921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=5 °C) °C;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rxp- время хранения, час;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- емкость резервуара,м3;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Mxp- количество мазута, хранимого в расчетном периоде, определяемое как среднее значение на начало и конец этого периода, т;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Po- плотность мазута при среднем значении температуры, кг/м3.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данных расход пара давлением 1 - 1,2 мегапаскаль и температурой 220 - 250 °C на разогрев, слив и зачистку десять железнодорожных цистерн емкостью 60 т принимается равным 7,65 т/ч (85 - 120 кг/т); расход пара на сливные лотки на десять метров двухпутной эстакады - 0,1 т/ч, на промежуточные емкости объемом 200 м3 - 0,6 т/ч, 400 м3 - 1,2 т/ч, 600 м3 - 1,8 т/ч, 1000 м3 - 2,0 т/ч.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Расход тепловой энергии на обогрев мазутопроводов, Гкал, определяется по формуле: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0"/>
    <w:p>
      <w:pPr>
        <w:spacing w:after="0"/>
        <w:ind w:left="0"/>
        <w:jc w:val="both"/>
      </w:pPr>
      <w:r>
        <w:drawing>
          <wp:inline distT="0" distB="0" distL="0" distR="0">
            <wp:extent cx="7429500" cy="53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74295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 q - плотность теплового потока от мазутопровода в окружающую среду, принимается по нормам плотности теплового потока, приводимым в строительных нормах и правилах;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L - длина обогреваемого мазутопровода, метр;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b</w:t>
      </w:r>
      <w:r>
        <w:rPr>
          <w:rFonts w:ascii="Times New Roman"/>
          <w:b w:val="false"/>
          <w:i w:val="false"/>
          <w:color w:val="000000"/>
          <w:sz w:val="28"/>
        </w:rPr>
        <w:t xml:space="preserve"> - коэффициент, учитывающий тепловые потери опорами, арматурой, компенсаторами; принимается 1,2 в тоннелях и каналах и помещениях, 1,25 - для надземной прокладки мазутопроводов;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rоб - продолжительность обогрева, час.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Расход тепловой энергии на подогрев мазута в мазутоподогревателях или расходных емкостях осуществляется до температуры, согласно таблице 1 приложения к настоящей Методике.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 тепловой энергии на подогрев мазута, Гкал, определяется по формуле: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7"/>
    <w:p>
      <w:pPr>
        <w:spacing w:after="0"/>
        <w:ind w:left="0"/>
        <w:jc w:val="both"/>
      </w:pPr>
      <w:r>
        <w:drawing>
          <wp:inline distT="0" distB="0" distL="0" distR="0">
            <wp:extent cx="7226300" cy="55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72263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 qп - удельный расход пара на подогрев мазута, согласно таблице 2 приложения к настоящей Методике в диапазоне температур, согласно таблице 1 приложения к настоящей Методике, кг на тонну мазута;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Iп,Iпв - энтальпия соответственно пара, используемого для подогрева, и питательной воды, ккал/кг;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Мп- количество подогреваемого мазута за расчетный период, равное количеству мазута, поданного в топку горелочными устройствами, т;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61"/>
    <w:p>
      <w:pPr>
        <w:spacing w:after="0"/>
        <w:ind w:left="0"/>
        <w:jc w:val="both"/>
      </w:pPr>
      <w:r>
        <w:drawing>
          <wp:inline distT="0" distB="0" distL="0" distR="0">
            <wp:extent cx="4191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КПД подогревателя, принимаемый равным 0,98.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Расход тепловой энергии на паровой распыл мазута, Гкал, рассчитывается в случае комплектации котлоагрегатов паромеханическими форсунками по формуле: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63"/>
    <w:p>
      <w:pPr>
        <w:spacing w:after="0"/>
        <w:ind w:left="0"/>
        <w:jc w:val="both"/>
      </w:pPr>
      <w:r>
        <w:drawing>
          <wp:inline distT="0" distB="0" distL="0" distR="0">
            <wp:extent cx="7264400" cy="39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72644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 qp - удельный расход пара на распыливание, кг/кг мазута; принимается 0,02 - 0,03 в зависимости от вязкости мазута;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Bм- количество распыляемого мазута, т;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Iп, Iпв - энтальпия соответственно пара, используемого для распыла мазута, и питательной воды, ккал/кг. Расход пара на распыл мазута для паровых форсунок учтен удельным расходом пара на подогрев мазута.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Часовой расход тепловой энергии, Гкал, на отопление помещения котельной определяется следующим образом: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68"/>
    <w:p>
      <w:pPr>
        <w:spacing w:after="0"/>
        <w:ind w:left="0"/>
        <w:jc w:val="both"/>
      </w:pPr>
      <w:r>
        <w:drawing>
          <wp:inline distT="0" distB="0" distL="0" distR="0">
            <wp:extent cx="7429500" cy="41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74295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 Vo - объем отапливаемого помещения (рабочей зоны), (м3);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qo- удельная отопительная характеристика здания при tp.o. = -30 °C принимается для объема здания 2 - 10 тыс. м3 - 0,1; 10 - 15 тыс. м3 - 0,08 ккал/(м3ч°C);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tp.o. - расчетная температура наружного воздуха для проектирования отопления, °C;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tвн– температура воздуха внутри помещения, принимаемая каксредневзвешенная по всем помещениям непосредственно котельной (котельный зал; насосное отделение; щитовое помещение и другие); принимается по действующим санитарным нормам с учетом показателей аттестации рабочих мест по условиям труда;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73"/>
    <w:p>
      <w:pPr>
        <w:spacing w:after="0"/>
        <w:ind w:left="0"/>
        <w:jc w:val="both"/>
      </w:pPr>
      <w:r>
        <w:drawing>
          <wp:inline distT="0" distB="0" distL="0" distR="0">
            <wp:extent cx="2794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поправочный коэффициент на температуру наружного воздуха для проектирования отопления принимается по таблице 3 приложения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результатов аттестации минимальные значения температур воздуха в рабочей зоне помещений в холодный период определяются из СП РК 4.02-105-2013"Котельные установки".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Пересчет расхода тепловой энергии на отопление в конкретном расчетном месяце по формуле: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76"/>
    <w:p>
      <w:pPr>
        <w:spacing w:after="0"/>
        <w:ind w:left="0"/>
        <w:jc w:val="both"/>
      </w:pPr>
      <w:r>
        <w:drawing>
          <wp:inline distT="0" distB="0" distL="0" distR="0">
            <wp:extent cx="7429500" cy="50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74295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 tср - средняя за расчетный период температура наружного воздуха, °C;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tмес- продолжительность отопления, час.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Полученный по вышеуказанной формуле расход тепловой энергии на отопление помещений котельной уменьшается на величину тепловых выделений в окружающую среду котлоагрегатами, баками различного назначения, установленными в котельном зале, других тепловыделений (потери с утечками, парением, через теплоизоляцию, при опробовании предохранительных клапанов), а также поступлений тепловой энергии с нагретым воздухом приточной вентиляции.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поступление тепловой энергии от котлоагрегатов, баков и других элементов, а также с воздухом приточной вентиляции обеспечивает поддержание расчетной температуры воздуха в производственной зоне котельного зала, то расход тепловой энергии на отопление в общем расходе на собственные нужды учитывается только в объеме потребности на отопление служебных и бытовых помещений.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 тепловой энергии на отопление и хозяйственно-бытовые нужды зданий и сооружений, расположенных на территории котельной (административное здание, гаражи, мастерские, склады и др.), не относится к затратам на собственным нужды.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Потери тепловой энергии котлоагрегатами определяются: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83"/>
    <w:p>
      <w:pPr>
        <w:spacing w:after="0"/>
        <w:ind w:left="0"/>
        <w:jc w:val="both"/>
      </w:pPr>
      <w:r>
        <w:drawing>
          <wp:inline distT="0" distB="0" distL="0" distR="0">
            <wp:extent cx="7315200" cy="54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 Bi - расход натурального топлива котлоагрегатом в расчетном месяце, т;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q5- средняя потеря тепловой энергии всеми элементами котлоагрегатов в окружающую среду, в % от количества теплоты топлива;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86"/>
    <w:p>
      <w:pPr>
        <w:spacing w:after="0"/>
        <w:ind w:left="0"/>
        <w:jc w:val="both"/>
      </w:pPr>
      <w:r>
        <w:drawing>
          <wp:inline distT="0" distB="0" distL="0" distR="0">
            <wp:extent cx="3683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теплота сгорания используемого натурального топлива, ккал/кг;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Ik- количество котлоагрегатов. Средняя потеря тепловой энергии всеми элементами котлоагрегата в окружающую среду () принимается по показателям режимной карты.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Потери тепловой энергии баками различного назначения (декарбонизаторы, баки-аккумуляторы и пр.), Гкал, определяют по формуле: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89"/>
    <w:p>
      <w:pPr>
        <w:spacing w:after="0"/>
        <w:ind w:left="0"/>
        <w:jc w:val="both"/>
      </w:pPr>
      <w:r>
        <w:drawing>
          <wp:inline distT="0" distB="0" distL="0" distR="0">
            <wp:extent cx="7366000" cy="43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73660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 qбj - норма плотности теплового потока через поверхность бака, ккал/м2ч; принимается по СП РК 4.02-102-2012 "Проектирование тепловой изоляции оборудования и трубопроводов" для баков;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Fбj- поверхность бака, м2;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Kt- температурный коэффициент, определяемый по соотношению (tг - tн ср) : (tг - 5);  nj - количество баков;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G - количество групп однотипных баков;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rбj - продолжительность работы баков в расчетном периоде, ч.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Расход тепловой энергии на хозяйственно-бытовые нужды, Гкал, определяется по формуле:</w:t>
      </w:r>
    </w:p>
    <w:bookmarkEnd w:id="195"/>
    <w:bookmarkStart w:name="z2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96"/>
    <w:p>
      <w:pPr>
        <w:spacing w:after="0"/>
        <w:ind w:left="0"/>
        <w:jc w:val="both"/>
      </w:pPr>
      <w:r>
        <w:drawing>
          <wp:inline distT="0" distB="0" distL="0" distR="0">
            <wp:extent cx="7061200" cy="44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70612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 </w:t>
      </w:r>
    </w:p>
    <w:bookmarkEnd w:id="197"/>
    <w:p>
      <w:pPr>
        <w:spacing w:after="0"/>
        <w:ind w:left="0"/>
        <w:jc w:val="both"/>
      </w:pPr>
      <w:r>
        <w:drawing>
          <wp:inline distT="0" distB="0" distL="0" distR="0">
            <wp:extent cx="4318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норма расхода горячей воды на одну душевую сетку, принимается равной 0,27 м3/сутки;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Nq- количество душевых сеток;</w:t>
      </w:r>
    </w:p>
    <w:bookmarkEnd w:id="198"/>
    <w:bookmarkStart w:name="z20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Kq- коэффициент использования душевых, определяется практическим путем, при отсутствии данных принимается равным 1,0;</w:t>
      </w:r>
    </w:p>
    <w:bookmarkEnd w:id="199"/>
    <w:bookmarkStart w:name="z20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a</w:t>
      </w:r>
      <w:r>
        <w:rPr>
          <w:rFonts w:ascii="Times New Roman"/>
          <w:b w:val="false"/>
          <w:i w:val="false"/>
          <w:color w:val="000000"/>
          <w:sz w:val="28"/>
        </w:rPr>
        <w:t xml:space="preserve"> - норма расхода горячей воды на одного человека в смену, при отсутствии данных принимается равной 0,024 м3/человек. в сутки;</w:t>
      </w:r>
    </w:p>
    <w:bookmarkEnd w:id="200"/>
    <w:bookmarkStart w:name="z20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 - численность работающих человек в сутки;</w:t>
      </w:r>
    </w:p>
    <w:bookmarkEnd w:id="201"/>
    <w:bookmarkStart w:name="z21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tr,  tхв- соответственно температура горячей и исходной воды, °C;</w:t>
      </w:r>
    </w:p>
    <w:bookmarkEnd w:id="202"/>
    <w:bookmarkStart w:name="z21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Cв- теплоемкость воды, ккал/кг°C;</w:t>
      </w:r>
    </w:p>
    <w:bookmarkEnd w:id="203"/>
    <w:bookmarkStart w:name="z21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Tq- продолжительность расчетного периода, сутки;</w:t>
      </w:r>
    </w:p>
    <w:bookmarkEnd w:id="204"/>
    <w:bookmarkStart w:name="z21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Pв- плотность воды, тонна на кубический метр.</w:t>
      </w:r>
    </w:p>
    <w:bookmarkEnd w:id="205"/>
    <w:bookmarkStart w:name="z21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Другие потери (опробование предохранительных клапанов, потери с утечками, парением, через теплоизоляцию трубопроводов), Гкал, принимают равными:</w:t>
      </w:r>
    </w:p>
    <w:bookmarkEnd w:id="206"/>
    <w:bookmarkStart w:name="z21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тепловых электростанций  Qдр = 0,002 Qпроизв</w:t>
      </w:r>
    </w:p>
    <w:bookmarkEnd w:id="207"/>
    <w:bookmarkStart w:name="z21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водогрейных котельных  Qдр = 0,001 Qпроизв</w:t>
      </w:r>
    </w:p>
    <w:bookmarkEnd w:id="208"/>
    <w:bookmarkStart w:name="z21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 Qпроизв - количество тепловой энергии, Гкал, произведенное котельной за расчетный период.</w:t>
      </w:r>
    </w:p>
    <w:bookmarkEnd w:id="20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расчета норм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расхода жидкого топлива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тепловых электростанциях и котельных</w:t>
            </w:r>
          </w:p>
        </w:tc>
      </w:tr>
    </w:tbl>
    <w:bookmarkStart w:name="z219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Температура подогрева мазута</w:t>
      </w:r>
    </w:p>
    <w:bookmarkEnd w:id="2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0"/>
        <w:gridCol w:w="2614"/>
        <w:gridCol w:w="2620"/>
        <w:gridCol w:w="2935"/>
        <w:gridCol w:w="2941"/>
      </w:tblGrid>
      <w:tr>
        <w:trPr>
          <w:trHeight w:val="30" w:hRule="atLeast"/>
        </w:trPr>
        <w:tc>
          <w:tcPr>
            <w:tcW w:w="11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форсунок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подогрева мазута, °C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Мазут марки М-40; М-60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Мазут марки М-80; М-100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конечная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конечная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паровые;воздушные высоконапорные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механические; паромеханические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воздушные низконапорные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</w:tbl>
    <w:bookmarkStart w:name="z220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Расход пара при типах форсунок</w:t>
      </w:r>
    </w:p>
    <w:bookmarkEnd w:id="2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28"/>
        <w:gridCol w:w="2658"/>
        <w:gridCol w:w="1957"/>
        <w:gridCol w:w="1957"/>
      </w:tblGrid>
      <w:tr>
        <w:trPr>
          <w:trHeight w:val="30" w:hRule="atLeast"/>
        </w:trPr>
        <w:tc>
          <w:tcPr>
            <w:tcW w:w="5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Мазут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пара (килограмм на 1 тонну мазута) при типах форсунок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паровые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паромеханические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воздушные</w:t>
            </w:r>
          </w:p>
        </w:tc>
      </w:tr>
      <w:tr>
        <w:trPr>
          <w:trHeight w:val="30" w:hRule="atLeast"/>
        </w:trPr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М-40; М-60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М-80; М-100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</w:tbl>
    <w:bookmarkStart w:name="z221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Поправочный коэффициент на температуру наружного воздуха для проектирования отопления</w:t>
      </w:r>
    </w:p>
    <w:bookmarkEnd w:id="2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5"/>
        <w:gridCol w:w="951"/>
        <w:gridCol w:w="951"/>
        <w:gridCol w:w="951"/>
        <w:gridCol w:w="952"/>
        <w:gridCol w:w="952"/>
        <w:gridCol w:w="952"/>
        <w:gridCol w:w="766"/>
        <w:gridCol w:w="952"/>
        <w:gridCol w:w="766"/>
        <w:gridCol w:w="952"/>
        <w:gridCol w:w="952"/>
        <w:gridCol w:w="768"/>
      </w:tblGrid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tp.o.°C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Relationship Target="media/document_image_rId31.jpeg" Type="http://schemas.openxmlformats.org/officeDocument/2006/relationships/image" Id="rId31"/><Relationship Target="media/document_image_rId32.jpeg" Type="http://schemas.openxmlformats.org/officeDocument/2006/relationships/image" Id="rId32"/><Relationship Target="media/document_image_rId33.jpeg" Type="http://schemas.openxmlformats.org/officeDocument/2006/relationships/image" Id="rId33"/><Relationship Target="media/document_image_rId34.jpeg" Type="http://schemas.openxmlformats.org/officeDocument/2006/relationships/image" Id="rId34"/><Relationship Target="media/document_image_rId35.jpeg" Type="http://schemas.openxmlformats.org/officeDocument/2006/relationships/image" Id="rId35"/><Relationship Target="media/document_image_rId36.jpeg" Type="http://schemas.openxmlformats.org/officeDocument/2006/relationships/image" Id="rId36"/><Relationship Target="media/document_image_rId37.jpeg" Type="http://schemas.openxmlformats.org/officeDocument/2006/relationships/image" Id="rId37"/><Relationship Target="media/document_image_rId38.jpeg" Type="http://schemas.openxmlformats.org/officeDocument/2006/relationships/image" Id="rId38"/><Relationship Target="media/document_image_rId39.jpeg" Type="http://schemas.openxmlformats.org/officeDocument/2006/relationships/image" Id="rId39"/><Relationship Target="media/document_image_rId40.jpeg" Type="http://schemas.openxmlformats.org/officeDocument/2006/relationships/image" Id="rId40"/><Relationship Target="media/document_image_rId41.jpeg" Type="http://schemas.openxmlformats.org/officeDocument/2006/relationships/image" Id="rId41"/><Relationship Target="media/document_image_rId42.jpeg" Type="http://schemas.openxmlformats.org/officeDocument/2006/relationships/image" Id="rId42"/><Relationship Target="media/document_image_rId43.jpeg" Type="http://schemas.openxmlformats.org/officeDocument/2006/relationships/image" Id="rId43"/><Relationship Target="media/document_image_rId44.jpeg" Type="http://schemas.openxmlformats.org/officeDocument/2006/relationships/image" Id="rId44"/><Relationship Target="media/document_image_rId45.jpeg" Type="http://schemas.openxmlformats.org/officeDocument/2006/relationships/image" Id="rId45"/><Relationship Target="media/document_image_rId46.jpeg" Type="http://schemas.openxmlformats.org/officeDocument/2006/relationships/image" Id="rId46"/><Relationship Target="media/document_image_rId47.jpeg" Type="http://schemas.openxmlformats.org/officeDocument/2006/relationships/image" Id="rId47"/><Relationship Target="media/document_image_rId48.jpeg" Type="http://schemas.openxmlformats.org/officeDocument/2006/relationships/image" Id="rId48"/><Relationship Target="media/document_image_rId49.jpeg" Type="http://schemas.openxmlformats.org/officeDocument/2006/relationships/image" Id="rId49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