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5b83" w14:textId="6e05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Айтекебийскому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15 мая 2019 года № 90. Зарегистрировано Департаментом юстиции Актюбинской области 17 мая 2019 года № 6161.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"Аппарат акима Айтекебийского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Айтекебийского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Н. Нажмадинова.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