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0dc2a" w14:textId="890dc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здравоохранения Республики Казахстан от 10 ноября 2009 года № 685 "Об установлении целевых групп лиц, подлежащих профилактическим медицинским осмотрам, а также правил и периодичности проведения данных осмотров"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 апреля 2020 года № ҚР ДСМ-22/2020. Зарегистрирован в Министерстве юстиции Республики Казахстан 3 апреля 2020 года № 20294. Утратил силу приказом Министра здравоохранения Республики Казахстан от 15 декабря 2020 года № ҚР ДСМ-264/2020.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15.12.2020 </w:t>
      </w:r>
      <w:r>
        <w:rPr>
          <w:rFonts w:ascii="Times New Roman"/>
          <w:b w:val="false"/>
          <w:i w:val="false"/>
          <w:color w:val="ff0000"/>
          <w:sz w:val="28"/>
        </w:rPr>
        <w:t>№ ҚР ДСМ-264/2020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155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10 ноября 2009 года № 685 "Об установлении целевых групп лиц, подлежащих профилактическим медицинским осмотрам, а также правил и периодичности проведения данных осмотров" (зарегистрирован в Реестре государственной регистрации нормативных правовых актов под № 5918, опубликован в 2010 году в Собрании актов центральных исполнительных и иных центральных государственных органов Республики Казахстан № 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Целевых группах лиц</w:t>
      </w:r>
      <w:r>
        <w:rPr>
          <w:rFonts w:ascii="Times New Roman"/>
          <w:b w:val="false"/>
          <w:i w:val="false"/>
          <w:color w:val="000000"/>
          <w:sz w:val="28"/>
        </w:rPr>
        <w:t>, подлежащих профилактическим медицинским осмотрам,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2,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1"/>
        <w:gridCol w:w="9495"/>
        <w:gridCol w:w="1654"/>
      </w:tblGrid>
      <w:tr>
        <w:trPr>
          <w:trHeight w:val="30" w:hRule="atLeast"/>
        </w:trPr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и женщины в возрасте 30-70 лет, проходящие профилактический медицинский осмотр на раннее выявление артериальной гипертонии, ишемической болезни сердца, сахарного диабета, глаукомы, онкопатологии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раннее выявление поведенческих факторов риска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периодичности проведения профилактических медицинских осмотров целевых групп населения, утвержденных указанным приказом: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Профилактический медицинский осмотр включает в себя доврачебный, педиатрический и специализированный этапы.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Доврачебный этап проводится средним медицинским персоналом медицинского пункта, фельдшерско-акушерского пункта, врачебной амбулатории, районной, городской поликлиники, средним медицинским персоналом организации образования (при его наличии), в том числе дошкольных организаций, и включает в себя: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роста и массы тела;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измерение объема головы и грудной клетки у детей раннего возраста (до 3 лет);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оценку физического и психосоциального развития;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измерение артериального давления (у детей 7 лет и старше);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плантографии и ее оценку (у детей 5 лет и старше);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определение остроты зрения;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исследование остроты слуха. У детей 3 лет и старше исследование проводится с помощью шепотной речи на оба уха поочередно, в тихом помещении на расстоянии не менее 5 метров между средним медицинским работником и ребенком.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проведение электрокардиографического исследования (12 отведений) у детей в возрасте 14 и 17 лет с целью исключения патологий со стороны сердечно-сосудистой системы.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Педиатрический этап проводится врачом педиатром, терапевтом (для детей в возрасте от 15 до 17 лет) или ВОП и включает в себя: оценку состояния здоровья ребенка, психофизического, полового развития, выявление признаков жестокого обращения с учетом данных доврачебного обследования. В ходе этапа проводятся: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осмотр кожных покровов и волосистой части головы;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осмотр видимых слизистых оболочек: конъюнктивы глаз, полости рта, зева. Обращается внимание на состояние зубов, прикус, высоту стояния твердого неба, величину и вид небных миндалин, голосовую функцию (звучность голоса);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осмотр и пальпация области щитовидной железы;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пальпация периферических лимфоузлов: подчелюстных, паховых, подмышечных;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исследование органов кровообращения (осмотр, аускультация сердца), определение частоты, наполнения, ритма пульса. При аускультации отмечают звучность и чистоту тонов. В случаях выявления сердечных шумов проводят исследования в различных положениях (стоя, лежа) и функциональные пробы с дозированной физической нагрузкой;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исследование органов дыхания (аускультация легких);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исследование органов пищеварения (пальпация органов брюшной полости, области правого подреберья, печени, эпигастральной области, селезенки, правой и левой подвздошной областей, надлобковой области). Обращается внимание на состояние слизистых, обложенность языка, десен, верхнего неба, зубов. Выявляются симптомы хронической интоксикации (бледность кожных покровов, орбитальные тени);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детям в возрасте от трех до четырех месяцев, по показаниям проводят ультразвуковое исследование тазобедренных суставов с целью раннего выявления дисплазии тазобедренных суставов и врожденного вывиха бедра;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осмотр половых органов. При осмотре девочек старше 10 лет особое внимание уделяют гинекологическому анамнезу, жалобам, нарушению менструальной функции;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оценка нервно-психического развития (далее – НПР) с рождения до 17 лет включительно с определением варианта группы развития: 1 – нормальный уровень НПР; 2 – незначительные отклонения в НПР; 3 – выраженные отклонения в НПР.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 детей до 3 лет оценка НПР проводится в соответствии с приказом Министра здравоохранения Республики Казахстан от 9 сентября 2010 года № 704 "Об утверждении Правил организации скрининга" (зарегистрирован в Реестре государственной регистрации нормативных правовых актов под № 6490).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4-6 лет оцениваются мышление и речь, моторное развитие, внимание и память, социальные контакты.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7-8 лет: психомоторная сфера и поведение, интеллектуальное развитие, эмоционально-вегетативная сфера.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9-10 лет дополнительно оценивается сформированность абстрактно-логических операций, логических суждений.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11-17 лет определяются: эмоционально-вегетативная сфера, сомато-вегетативные проявления, вегето-диэнцефальные проявления;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оценка полового развития методом пубертограмм, выдается заключение (норма, опережение, отставание);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выявление признаков жестокого обращения путем выявления нехарактерных для данного возраста травм и их последствий, признаков побоев (линейные кровоподтеки после ударов палкой или прутом, кровоподтеки в виде петли после ударов ремнем, веревкой, следы связывания, стягивания веревкой или ремнем, следы прижиганий сигаретой, кровоизлияния в сетчатку глаз, субдуральные гематомы);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выявлении патологических изменений направляет на дополнительное обследование к профильному специалисту. 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Специализированный этап проводится врачами профильных специальностей и включает в себя осмотр с заполнением результатов в МИС: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хирург-ортопед или травматолог у детей раннего возраста обращает внимание на наличие расширения пупочного, паховых колец, грыжевых выпячиваний в области белой линии живота, крипторхизма, выпадения прямой кишки, деформацию конечностей, грудной клетки. У детей дошкольного и школьного возраста определяется наличие деформации позвоночника, нарушений осанки, функций крупных и мелких суставов. Проводится осмотр состояния сводов стоп, оценка плантограммы, оценка походки. У мальчиков определяется опущение яичек;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уролог или хирург исключает патологию мочеполовой системы;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отоларинголог проводит переднюю риноскопию и проверку дыхательной функции носа, заднюю риноскопию, фарингоскопию, пальпацию шейных лимфоузлов (подчелюстных, передних и задних шейных, заушных), отоскопию, исследование слуха;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невролог проводит общий осмотр (определение наличия дермографических черт, сосудистого рисунка), исследование состояния черепно-мозговых нервов, двигательных функций; сухожильных, периостальных, кожных рефлексов; оценку вегетативной регуляции. Дети в возрасте 14 и 17 лет проходят дополнительно электроэнцефалографическое исследование для исключения патологий со стороны центральной нервной системы;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стоматолог проводит комплексное обследование ребенка с оценкой состояния прикуса, пародонта, индексов гигиены, интенсивности поражения зубов кариесом (КПУ - сумма кариозных пломбированных и удаленных зубов у одного ребенка), степени активности кариеса, гингивита, (РМА - папиллярно-маргинально-альвеолярный индекс для оценки воспалительного процесса десен), плана диспансеризации, реабилитации и профилактики;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офтальмолог проводит определение остроты зрения, внешний осмотр органа зрения; осмотр с боковым освещением и в проходящем свете, офтальмоскопию. Дети в возрасте 14 и 17 лет проходят дополнительно измерение глазного давления, офтальмоскопию;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эндокринолог проводит осмотр для исключения гинекомастии, задержки или преждевременного полового развития, задержки роста, ожирения, увеличения щитовидной железы, сахарного диабета, крипторхизма.";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"42. Профилактический медицинский осмотр на раннее выявление артериальной гипертонии, ишемической болезни сердца и сахарного диабета состоит из двух этапов: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первый этап проводится средним медицинским персоналом организации ПМСП или ответственным лицом организации ПМСП, предназначен для всей целевой группы и включает в себя: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антропометрических измерений (вес, рост, объем талии), вычисление индекса Кетле;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опроса по анкете;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двукратное измерение артериального давления (далее – АД) с интервалом в 1-2 минуты в положении сидя. Перед измерением АД больной должен посидеть 3-5 минут; 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экспресс-диагностики общего холестерина и глюкозы крови (при отсутствии такового оборудования, биоматериал (кровь) пациента направляется в лабораторию);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 данных в МИС.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втором этапе врач ПМСП или ответственное лицо организации ПМСП использует шкалу SCORE для определения сердечно-сосудистого риска и принятия решения о дальнейшем ведении обследуемого лица: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низким сердечно-сосудистым риском (до 1% по шкале SCORE) рекомендует проведение последующего осмотра через 2 года, дает рекомендации по ведению здорового образа жизни с целью сохранения низкого сердечно-сосудистого риска;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 с умеренным сердечно-сосудистым риском (&gt; 1% до &lt; 5% по шкале SCORE) направляет в школу по профилю заболевания (далее - школа здоровья) с целью снижения или стабилизации сердечно-сосудистого риска;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 с высоким и очень высоким сердечно-сосудистым риском (&gt; 5% по шкале SCORE) направляет на электрокардиографию. При обнаружении изменений на ЭКГ, уровне холестерина более 5,0 ммоль/л, артериальном давлении выше 140/90 мм.рт.ст., а также при отклонении частоты сердечных сокращений от нормы обследуемый направляется на прием ВОП/участкового терапевта, который по показаниям направляет обследуемого на консультацию кардиолога. При выявлении у пациента болезней системы кровообращения (далее – БСК) ВОП или участковый терапевт ставит обследуемого на ДН, при отсутствии БСК направляет в школу здоровья с целью снижения сердечно-сосудистого риска;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повышенного уровня глюкозы крови (более 7,0 ммоль/л) направляет пациента на консультацию участкового терапевта/ВОП по месту жительства. При наличии клинических признаков сахарного диабета, а также при наличии у обследуемого индекса массы тела ≥ 25 кг/м² с одним или несколькими дополнительными факторами риска ВОП или участковый терапевт направляет на дополнительные исследования, по показаниям направляет на консультацию к эндокринологу;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вводит данные в МИС.";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"43. Кардиолог, эндокринолог медицинской организации или ВОП/участковый терапевт по месту жительства проводит последующее обследование согласно протоколам диагностики и лечения, по показаниям направляет в специализированные медицинские организации. Результаты обследования вводятся и передаются посредством информационного взаимодействия МИС.";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 периодичности проведения профилактических медицинских осмотров целевых групп населения, утвержденных указанным приказом: 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3, изложить в следующей редакции: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8"/>
        <w:gridCol w:w="2775"/>
        <w:gridCol w:w="7968"/>
        <w:gridCol w:w="479"/>
      </w:tblGrid>
      <w:tr>
        <w:trPr>
          <w:trHeight w:val="30" w:hRule="atLeast"/>
        </w:trPr>
        <w:tc>
          <w:tcPr>
            <w:tcW w:w="1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медицинской сестры со средним образованием</w:t>
            </w:r>
          </w:p>
        </w:tc>
        <w:tc>
          <w:tcPr>
            <w:tcW w:w="7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недоношенные дети с массой тела при рождении менее 1500 г., в возрасте 3 месяцев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медицинской сестры с высшим образованием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фельдшера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Хирург (ортопед)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Ультразвуковое исследование тазобедренных суставов (по показаниям)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Оториноларинголог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невропатолог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офтальмолог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педиатра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ВОП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</w:tbl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12, изложить в следующей редакции: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2"/>
        <w:gridCol w:w="1917"/>
        <w:gridCol w:w="8296"/>
        <w:gridCol w:w="465"/>
      </w:tblGrid>
      <w:tr>
        <w:trPr>
          <w:trHeight w:val="30" w:hRule="atLeast"/>
        </w:trPr>
        <w:tc>
          <w:tcPr>
            <w:tcW w:w="16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медицинской сестры со средним образованием</w:t>
            </w:r>
          </w:p>
        </w:tc>
        <w:tc>
          <w:tcPr>
            <w:tcW w:w="8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Недоношенные дети с массой тела при рождении менее 1500 г., в возрасте 12 месяцев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медицинской сестры с высшим образованием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фельдшера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невропатолог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офтальмолог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эндокринолог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педиатра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ВОП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</w:tbl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15, изложить в следующей редакции: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4"/>
        <w:gridCol w:w="2710"/>
        <w:gridCol w:w="7488"/>
        <w:gridCol w:w="468"/>
      </w:tblGrid>
      <w:tr>
        <w:trPr>
          <w:trHeight w:val="30" w:hRule="atLeast"/>
        </w:trPr>
        <w:tc>
          <w:tcPr>
            <w:tcW w:w="1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медицинской сестры со средним образованием</w:t>
            </w:r>
          </w:p>
        </w:tc>
        <w:tc>
          <w:tcPr>
            <w:tcW w:w="74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с массой тела при рождении более 1500 г., в возрасте 3 месяцев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медицинской сестры с высшим образованием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фельдшера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педиатра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ВОП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Ультразвуковое исследование тазобедренных суставов (по показаниям)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</w:tbl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30, изложить в следующей редакции: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5"/>
        <w:gridCol w:w="6660"/>
        <w:gridCol w:w="3781"/>
        <w:gridCol w:w="414"/>
      </w:tblGrid>
      <w:tr>
        <w:trPr>
          <w:trHeight w:val="30" w:hRule="atLeast"/>
        </w:trPr>
        <w:tc>
          <w:tcPr>
            <w:tcW w:w="1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Оториноларинголог</w:t>
            </w:r>
          </w:p>
        </w:tc>
        <w:tc>
          <w:tcPr>
            <w:tcW w:w="3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возрасте с 2 до 3 лет профильные специалисты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беременности: стоматолог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</w:tbl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34, изложить в следующей редакции: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9"/>
        <w:gridCol w:w="6953"/>
        <w:gridCol w:w="3406"/>
        <w:gridCol w:w="432"/>
      </w:tblGrid>
      <w:tr>
        <w:trPr>
          <w:trHeight w:val="30" w:hRule="atLeast"/>
        </w:trPr>
        <w:tc>
          <w:tcPr>
            <w:tcW w:w="1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медицинской сестры со средним образованием</w:t>
            </w:r>
          </w:p>
        </w:tc>
        <w:tc>
          <w:tcPr>
            <w:tcW w:w="3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возрасте от 3 до 4 лет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медицинской сестры с высшим образованием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фельдшера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Хирург (ортопед)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Оториноларинголог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невропатолог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офтальмолог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беременности: стоматолог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педиатра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ВОП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</w:tbl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35, изложить в следующей редакции: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9"/>
        <w:gridCol w:w="6953"/>
        <w:gridCol w:w="3406"/>
        <w:gridCol w:w="432"/>
      </w:tblGrid>
      <w:tr>
        <w:trPr>
          <w:trHeight w:val="30" w:hRule="atLeast"/>
        </w:trPr>
        <w:tc>
          <w:tcPr>
            <w:tcW w:w="1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медицинской сестры со средним образованием</w:t>
            </w:r>
          </w:p>
        </w:tc>
        <w:tc>
          <w:tcPr>
            <w:tcW w:w="3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возрасте от 4 до 5 лет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медицинской сестры с высшим образованием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фельдшера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беременности: стоматолог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педиатра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ВОП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</w:tbl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36, изложить в следующей редакции: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9"/>
        <w:gridCol w:w="6953"/>
        <w:gridCol w:w="3406"/>
        <w:gridCol w:w="432"/>
      </w:tblGrid>
      <w:tr>
        <w:trPr>
          <w:trHeight w:val="30" w:hRule="atLeast"/>
        </w:trPr>
        <w:tc>
          <w:tcPr>
            <w:tcW w:w="1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медицинской сестры со средним образованием</w:t>
            </w:r>
          </w:p>
        </w:tc>
        <w:tc>
          <w:tcPr>
            <w:tcW w:w="3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возрасте от 5 до 6 лет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медицинской сестры с высшим образованием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беременности: стоматолог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фельдшера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педиатра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ВОП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</w:tbl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37, изложить в следующей редакции: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9"/>
        <w:gridCol w:w="6953"/>
        <w:gridCol w:w="3406"/>
        <w:gridCol w:w="432"/>
      </w:tblGrid>
      <w:tr>
        <w:trPr>
          <w:trHeight w:val="30" w:hRule="atLeast"/>
        </w:trPr>
        <w:tc>
          <w:tcPr>
            <w:tcW w:w="1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медицинской сестры со средним образованием</w:t>
            </w:r>
          </w:p>
        </w:tc>
        <w:tc>
          <w:tcPr>
            <w:tcW w:w="3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возрасте от 6 до 7 лет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медицинской сестры с высшим образованием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фельдшера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Хирург (ортопед)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Оториноларинголог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невропатолог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офтальмолог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беременности: стоматолог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педиатра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ВОП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</w:tbl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38, изложить в следующей редакции: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9"/>
        <w:gridCol w:w="6953"/>
        <w:gridCol w:w="3406"/>
        <w:gridCol w:w="432"/>
      </w:tblGrid>
      <w:tr>
        <w:trPr>
          <w:trHeight w:val="30" w:hRule="atLeast"/>
        </w:trPr>
        <w:tc>
          <w:tcPr>
            <w:tcW w:w="1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медицинской сестры со средним образованием</w:t>
            </w:r>
          </w:p>
        </w:tc>
        <w:tc>
          <w:tcPr>
            <w:tcW w:w="3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возрасте от 7 до 8 лет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медицинской сестры с высшим образованием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беременности: стоматолог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фельдшера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педиатра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ВОП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</w:tbl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39, изложить в следующей редакции: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9"/>
        <w:gridCol w:w="6953"/>
        <w:gridCol w:w="3406"/>
        <w:gridCol w:w="432"/>
      </w:tblGrid>
      <w:tr>
        <w:trPr>
          <w:trHeight w:val="30" w:hRule="atLeast"/>
        </w:trPr>
        <w:tc>
          <w:tcPr>
            <w:tcW w:w="1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медицинской сестры со средним образованием</w:t>
            </w:r>
          </w:p>
        </w:tc>
        <w:tc>
          <w:tcPr>
            <w:tcW w:w="3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возрасте от 8 до 9 лет</w:t>
            </w:r>
          </w:p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медицинской сестры с высшим образованием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фельдшера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беременности: стоматолог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педиатра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ВОП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</w:tbl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40, изложить в следующей редакции: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6"/>
        <w:gridCol w:w="6662"/>
        <w:gridCol w:w="3778"/>
        <w:gridCol w:w="414"/>
      </w:tblGrid>
      <w:tr>
        <w:trPr>
          <w:trHeight w:val="30" w:hRule="atLeast"/>
        </w:trPr>
        <w:tc>
          <w:tcPr>
            <w:tcW w:w="14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медицинской сестры со средним образованием</w:t>
            </w:r>
          </w:p>
        </w:tc>
        <w:tc>
          <w:tcPr>
            <w:tcW w:w="3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возрасте от 9 до 10 лет</w:t>
            </w:r>
          </w:p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медицинской сестры с высшим образованием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фельдшера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беременности: стоматолог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педиатра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ВОП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</w:tbl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41, изложить в следующей редакции: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8"/>
        <w:gridCol w:w="6395"/>
        <w:gridCol w:w="4119"/>
        <w:gridCol w:w="398"/>
      </w:tblGrid>
      <w:tr>
        <w:trPr>
          <w:trHeight w:val="30" w:hRule="atLeast"/>
        </w:trPr>
        <w:tc>
          <w:tcPr>
            <w:tcW w:w="1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медицинской сестры со средним образованием</w:t>
            </w:r>
          </w:p>
        </w:tc>
        <w:tc>
          <w:tcPr>
            <w:tcW w:w="4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возрасте от 10 до 11 лет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медицинской сестры с высшим образованием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фельдшера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беременности: стоматолог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Хирург (ортопед)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Оториноларинголог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офтальмолог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Эндокринолог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педиатра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ВОП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</w:tbl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,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8"/>
        <w:gridCol w:w="6395"/>
        <w:gridCol w:w="4119"/>
        <w:gridCol w:w="398"/>
      </w:tblGrid>
      <w:tr>
        <w:trPr>
          <w:trHeight w:val="30" w:hRule="atLeast"/>
        </w:trPr>
        <w:tc>
          <w:tcPr>
            <w:tcW w:w="1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медицинской сестры со средним образованием</w:t>
            </w:r>
          </w:p>
        </w:tc>
        <w:tc>
          <w:tcPr>
            <w:tcW w:w="4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возрасте от 11 до 12 лет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медицинской сестры с высшим образованием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фельдшера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беременности: стоматолог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педиатра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ВОП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</w:tbl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43, изложить в следующей редакции: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8"/>
        <w:gridCol w:w="6395"/>
        <w:gridCol w:w="4119"/>
        <w:gridCol w:w="398"/>
      </w:tblGrid>
      <w:tr>
        <w:trPr>
          <w:trHeight w:val="30" w:hRule="atLeast"/>
        </w:trPr>
        <w:tc>
          <w:tcPr>
            <w:tcW w:w="1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медицинской сестры со средним образованием</w:t>
            </w:r>
          </w:p>
        </w:tc>
        <w:tc>
          <w:tcPr>
            <w:tcW w:w="4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возрасте от 12 до 13 лет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медицинской сестры с высшим образованием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фельдшера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беременности: стоматолог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офтальмолог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Эндокринолог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педиатра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ВОП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</w:tbl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44, изложить в следующей редакции: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8"/>
        <w:gridCol w:w="6395"/>
        <w:gridCol w:w="4119"/>
        <w:gridCol w:w="398"/>
      </w:tblGrid>
      <w:tr>
        <w:trPr>
          <w:trHeight w:val="30" w:hRule="atLeast"/>
        </w:trPr>
        <w:tc>
          <w:tcPr>
            <w:tcW w:w="1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медицинской сестры со средним</w:t>
            </w:r>
          </w:p>
        </w:tc>
        <w:tc>
          <w:tcPr>
            <w:tcW w:w="4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возрасте от 13 до 14 лет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медицинской сестры с высшим образованием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фельдшера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беременности: стоматолог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педиатра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ВОП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</w:tbl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45, изложить в следующей редакции: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8"/>
        <w:gridCol w:w="6395"/>
        <w:gridCol w:w="4119"/>
        <w:gridCol w:w="398"/>
      </w:tblGrid>
      <w:tr>
        <w:trPr>
          <w:trHeight w:val="30" w:hRule="atLeast"/>
        </w:trPr>
        <w:tc>
          <w:tcPr>
            <w:tcW w:w="1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медицинской сестры со средним образованием</w:t>
            </w:r>
          </w:p>
        </w:tc>
        <w:tc>
          <w:tcPr>
            <w:tcW w:w="4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возрасте от 14 до 15 лет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медицинской сестры с высшим образованием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фельдшера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беременности: стоматолог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Хирург (ортопед)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Оториноларинголог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Офтальмолог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электрокардиографического исследования (12 отведений)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невропатолог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электроэнцефалографического исследования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</w:tbl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46, изложить в следующей редакции: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8"/>
        <w:gridCol w:w="6395"/>
        <w:gridCol w:w="4119"/>
        <w:gridCol w:w="398"/>
      </w:tblGrid>
      <w:tr>
        <w:trPr>
          <w:trHeight w:val="30" w:hRule="atLeast"/>
        </w:trPr>
        <w:tc>
          <w:tcPr>
            <w:tcW w:w="1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медицинской сестры со средним образованием</w:t>
            </w:r>
          </w:p>
        </w:tc>
        <w:tc>
          <w:tcPr>
            <w:tcW w:w="4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возрасте от 15 до 16 лет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медицинской сестры с высшим образованием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фельдшера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Хирург (ортопед)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Оториноларинголог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невропатолог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офтальмолог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Эндокринолог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Уролог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беременности: стоматолог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педиатра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терапевт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ВОП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</w:tbl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47, изложить в следующей редакции: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8"/>
        <w:gridCol w:w="6395"/>
        <w:gridCol w:w="4119"/>
        <w:gridCol w:w="398"/>
      </w:tblGrid>
      <w:tr>
        <w:trPr>
          <w:trHeight w:val="30" w:hRule="atLeast"/>
        </w:trPr>
        <w:tc>
          <w:tcPr>
            <w:tcW w:w="1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медицинской сестры со средним образованием</w:t>
            </w:r>
          </w:p>
        </w:tc>
        <w:tc>
          <w:tcPr>
            <w:tcW w:w="4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возрасте от 16 до 17 лет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медицинской сестры с высшим образованием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фельдшера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офтальмолог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Уролог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беременности: стоматолог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педиатра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ВОП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терапевт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</w:tbl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48, изложить в следующей редакции: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8"/>
        <w:gridCol w:w="6395"/>
        <w:gridCol w:w="4119"/>
        <w:gridCol w:w="398"/>
      </w:tblGrid>
      <w:tr>
        <w:trPr>
          <w:trHeight w:val="30" w:hRule="atLeast"/>
        </w:trPr>
        <w:tc>
          <w:tcPr>
            <w:tcW w:w="1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медицинской сестры со средним образованием</w:t>
            </w:r>
          </w:p>
        </w:tc>
        <w:tc>
          <w:tcPr>
            <w:tcW w:w="4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в возрасте от 17 до 18 лет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медицинской сестры с высшим образованием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фельдшера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электрокардиографического исследования (12 отведений)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Хирург (ортопед)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Оториноларинголог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невропатолог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электроэнцефалографического исследования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офтальмолог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Эндокринолог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Уролог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беременности: стоматолог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педиатра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ВОП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терапевт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</w:tbl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исключить;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 периодичности проведения профилактических медицинских осмотров целевых групп населения, утвержденных указанным приказом: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2, изложить в следующей редакции: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2246"/>
        <w:gridCol w:w="9100"/>
        <w:gridCol w:w="294"/>
      </w:tblGrid>
      <w:tr>
        <w:trPr>
          <w:trHeight w:val="3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Медицинская сестра со средним образованием</w:t>
            </w:r>
          </w:p>
        </w:tc>
        <w:tc>
          <w:tcPr>
            <w:tcW w:w="9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и женщины в возрасте от 40 до 70 лет, подлежащие осмотру на раннее выявление артериальной гипертонии, ишемической болезни сердца, сахарного диабета, глаукомы и поведенческих факторов риска, 1 раз в 2 года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медицинской сестры с высшим образованием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Фельдшер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внутриглазного давления бесконтактным тонометром или по Маклакову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холестерина в сыворотке крови экспресс методом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сыворотке крови экспресс методом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терапевт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семейный врач (ВОП)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Электрокардиографическое исследование (в 12 отведениях)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Консультация: Кардиолог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Консультация: Эндокринолог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Консультация: Офтальмолог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</w:tbl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3, изложить в следующей редакции: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3277"/>
        <w:gridCol w:w="6567"/>
        <w:gridCol w:w="1731"/>
      </w:tblGrid>
      <w:tr>
        <w:trPr>
          <w:trHeight w:val="30" w:hRule="atLeast"/>
        </w:trPr>
        <w:tc>
          <w:tcPr>
            <w:tcW w:w="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Акушерка</w:t>
            </w:r>
          </w:p>
        </w:tc>
        <w:tc>
          <w:tcPr>
            <w:tcW w:w="6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 в возрасте от 30 до 70 лет, подлежащие осмотру на раннее выявление рака шейки матки один раз в 4 года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Медицинская сестра со средним образованием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медицинской сестры с высшим образованием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Фельдшер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мазка на онкоцитологию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 (повторный - дефект)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мазка из шейки матки ПАП-тест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мазка из шейки матки ПАП-тест на аппарате жидкостной цитологии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Акушер-гинеколог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(видео)кольпоскопия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шейки матки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3 категории сложности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Акушер-гинеколог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Онколог-гинеколог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</w:tbl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4, изложить в следующей редакции: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3173"/>
        <w:gridCol w:w="6749"/>
        <w:gridCol w:w="1676"/>
      </w:tblGrid>
      <w:tr>
        <w:trPr>
          <w:trHeight w:val="30" w:hRule="atLeast"/>
        </w:trPr>
        <w:tc>
          <w:tcPr>
            <w:tcW w:w="7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Маммография (4 снимка)</w:t>
            </w:r>
          </w:p>
        </w:tc>
        <w:tc>
          <w:tcPr>
            <w:tcW w:w="6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Женщины в возрасте от 40 до 70 лет, подлежащие осмотру на раннее выявление рака молочной железы 1 раз в 2 года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(2 читка маммограмм): Рентгенолог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(2 читка маммограмм): Рентгенолог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Маммография (4 снимка)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 (повторный - дефект)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(2 читка маммограмм): Рентгенолог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(2 читка маммограмм): Рентгенолог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Онколог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Маммолог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терапевт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семейный врач (ВОП)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Прицельная маммография (1 проекция)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молочных желҰз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Трепанобиопсия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Пункционная/аспирационная биопсия под стереотаксическим контролем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3 категории сложности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Маммолог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Онколог-хирург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</w:tbl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5, изложить в следующей редакции: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3446"/>
        <w:gridCol w:w="7753"/>
        <w:gridCol w:w="339"/>
      </w:tblGrid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скрытой крови в кале (гемокульт-тест) экспресс методом</w:t>
            </w:r>
          </w:p>
        </w:tc>
        <w:tc>
          <w:tcPr>
            <w:tcW w:w="7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Мужчины и женщины в возрасте от 50 до 70 лет, подлежащие осмотру на раннее выявление колоректального рака, 1 раз в 2 года</w:t>
            </w:r>
          </w:p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терапевт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семейный врач (ВОП)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видеоколоноскопия скрининговая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Наркоз внутривенный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щипковая биопсия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3 категории сложности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Хирург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Проктолог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Гастроэнтеролог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Онколог-хирург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</w:tbl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исключить;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приложениях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 периодичности проведения профилактических медицинских осмотров целевых групп населения, утвержденных указанным приказом: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 исключить;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республиканских организаций здравоохранения, ответственных за методическое руководство и анализ скрининговых осмотров целевых групп населения, утвержденном указанным приказом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республиканских организаций здравоохранения, ответственных за методическое руководство и анализ профилактических медицинских осмотров целевых групп населения";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республиканских организаций здравоохранения, ответственных за методическое руководство и анализ профилактических медицинских осмотров целевых групп населения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общественного здравоохранения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Надырова К.Т.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2020 года.</w:t>
      </w:r>
    </w:p>
    <w:bookmarkEnd w:id="1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ДСМ-22/2020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ноября 2009 года № 685</w:t>
            </w:r>
          </w:p>
        </w:tc>
      </w:tr>
    </w:tbl>
    <w:bookmarkStart w:name="z152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республиканских организаций здравоохранения, ответственных за методическое руководство и анализ профилактических медицинских осмотров целевых групп населения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"/>
        <w:gridCol w:w="4805"/>
        <w:gridCol w:w="6867"/>
      </w:tblGrid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ответственной организации*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обязанности по внедрению профилактических медицинских (скрининговых) осмотров целевых групп населения</w:t>
            </w:r>
          </w:p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Министерства здравоохранения (далее – РГП на ПХВ МЗ РК) "Национальный центр общественного здравоохранения" (далее –НЦОЗ)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Организация работы Рабочей группы по научно-методическому обеспечению скрининговых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Разработка и совершенствование нормативно-правовой базы, учетно-отчетных 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Разработка модели проведения скрининговых осмотров в условиях развития ПМСП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Организационно-методическое руководство, координация, мониторинг, оценка, анализ результатов проведения профилактических медицинских (скрининговых) осмотров по выявлению поведенческих факторов риска среди целевых групп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Методическая помощь региональным центрам формирования здорового образа жизни в проведении анализа результатов проведения профилактических медицинских (скрининговых) осмотров.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Свод и ежеквартальное предоставление аналитических отчетов по проведению профилактических медицинских (скрининговых) осмотров в Министерство здравоохранения Республики Казахстан (далее – МЗ РК) к 20 числу месяца, следующего за отчетным.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Свод и предоставление в МЗ РК ежегодного заключительного аналитического отчета по проведению профилактических медицинских (скрининговых) осмотров к 1 февраля следующего за отчетным периодом года.</w:t>
            </w:r>
          </w:p>
          <w:bookmarkEnd w:id="142"/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(далее – АО) "Научно- исследовательский институт кардиологии и внутренних болезней"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Рабочей группе по научно-методическому обеспечению скрининговых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Организационно-методическое руководство, координация, мониторинг, оценка, практическая помощь в проведении профилактических медицинских (скрининговых) осмотров по раннему выявлению основных болезней системы кровообращения (артериальной гипертонии, ишемической болезни сердца), сахарного диабета среди отдельных целевых групп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Анализ результатов профилактических медицинских (скрининговых) осмотров, предоставление аналитического отчета в НЦОЗ – ежеквартально к 15 числу месяца, следующего за отчетным.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Предоставление в НЦОЗ ежегодного заключительного аналитического отчета по проведению профилактических медицинских (скрининговых) осмотров к 20 января следующего за отчетным периодом года.</w:t>
            </w:r>
          </w:p>
          <w:bookmarkEnd w:id="143"/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"Казахский научно-исследовательский институт онкологии и радиологии"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Рабочей группе по научно-методическому обеспечению скрининговых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Организационно- методическое руководство, координация, мониторинг, оценка, практическая помощь в проведении профилактических медицинских осмотров по раннему выявлению рака шейки матки, рака молочной железы, колоректального рака, среди целевых групп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Анализ результатов профилактических медицинских осмотров, предоставление аналитического отчета в НЦОЗ – ежеквартально к 15 числу месяца, следующего за отчетным.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Предоставление в НЦОЗ ежегодного заключительного аналитического отчета по проведению профилактических медицинских осмотров к 20 января следующего за отчетным периодом года.</w:t>
            </w:r>
          </w:p>
          <w:bookmarkEnd w:id="144"/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научный центр материнства и детства" и АО "Научный центр акушерства, гинекологии и перинатологии"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Рабочей группе по научно-методическому обеспечению скрининговых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Организационно-методическое руководство, координация, мониторинг, оценка, практическая помощь в проведении профилактических медицинских осмотров по раннему выявлению предопухолевых заболеваний шейки матки среди отдельных целевых групп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Анализ результатов профилактических медицинских осмотров, предоставление аналитического отчета в НЦОЗ – ежеквартально к 15 числу месяца, следующего за отчетным периодом.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Предоставление в НЦОЗ ежегодного заключительного аналитического отчета по проведению профилактических медицинских осмотров к 20 января следующего за отчетным периодом года.</w:t>
            </w:r>
          </w:p>
          <w:bookmarkEnd w:id="145"/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"Казахский ордена "Знак Почета" научно- исследовательский институт глазных болезней"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Рабочей группе по научно-методическому обеспечению скрининговых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Организационно-методическое руководство, координация, мониторинг, оценка, практическая помощь в проведении профилактических медицинских осмотров по раннему выявлению глаукомы среди отдельных целевых групп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Анализ результатов профилактических медицинских осмотров, предоставление аналитического отчета в НЦОЗ – ежеквартально к 15 числу месяца, следующего за отчетным периодом.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Предоставление в НЦОЗ ежегодного заключительного аналитического отчета по проведению профилактических медицинских осмотров к 20 января следующего за отчетным периодом года.</w:t>
            </w:r>
          </w:p>
          <w:bookmarkEnd w:id="146"/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 "Национальный научный центр материнства и детства" и АО "Научный центр педиатрии и детской хирургии"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Рабочей группе по научно-методическому обеспечению скрининговых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Организационно-методическое руководство, координация, мониторинг, оценка, практическая помощь в проведении профилактических медицинских осмотров, динамического наблюдения и оздоровления детского населения.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Анализ результатов профилактических медицинских осмотров, динамического наблюдения и оздоровления детского населения, предоставление аналитического отчета в НЦОЗ – ежеквартально к 15 числу месяца, следующего за отчетным.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Предоставление в НЦОЗ ежегодного заключительного аналитического отчета по проведению профилактических медицинских осмотров к 20 января следующего за отчетным периодом года.</w:t>
            </w:r>
          </w:p>
          <w:bookmarkEnd w:id="147"/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НАО "Казахский национальный медицинский университет имени С.Д. Асфендиярова" Университетская клиника № 1 "Аксай"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Рабочей группе по научно-методическому обеспечению скрининговых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Организационно-методическое руководство, координация, мониторинг, оценка, практическая помощь в проведении профилактических медицинских осмотров по раннему выявлению тугоухости у детей.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Анализ результатов профилактических медицинских осмотров по раннему выявлению тугоухости у детей, предоставление аналитического отчета в НЦОЗ – ежеквартально к 15 числу месяца, следующего за отчетным периодом.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Предоставление в НЦОЗ ежегодного заключительного аналитического отчета по проведению профилактических медицинских осмотров к 20 января следующего за отчетным периодом года.</w:t>
            </w:r>
          </w:p>
          <w:bookmarkEnd w:id="148"/>
        </w:tc>
      </w:tr>
      <w:tr>
        <w:trPr>
          <w:trHeight w:val="30" w:hRule="atLeast"/>
        </w:trPr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на ПХВ "Республиканский центр электронного развития"</w:t>
            </w:r>
          </w:p>
        </w:tc>
        <w:tc>
          <w:tcPr>
            <w:tcW w:w="6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Участие в Рабочей группе по научно-методическому обеспечению скрининговых программ.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Выработка рекомендаций по доработке медицинских информационных систем на постоянной основе с учетом результатов профилактических медицинских осмотров.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Сбор и формирование выходных форм профилактических медицинских осмотров.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Предоставление в МЗ РК и НЦОЗ результаты проведения профилактических медицинских осмотров – ежеквартально к 10 числу месяца, следующего за отчетным, заключительных за год – к 5 января следующего за отчетным периодом года.</w:t>
            </w:r>
          </w:p>
          <w:bookmarkEnd w:id="149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