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f9d1b" w14:textId="bff9d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юстиции Республики Казахстан от 4 мая 2020 года № 27 "Об утверждении Правил оказания государственной услуги "Государственная регистрация прав (обременений прав) на недвижимое имущество"</w:t>
      </w:r>
    </w:p>
    <w:p>
      <w:pPr>
        <w:spacing w:after="0"/>
        <w:ind w:left="0"/>
        <w:jc w:val="both"/>
      </w:pPr>
      <w:r>
        <w:rPr>
          <w:rFonts w:ascii="Times New Roman"/>
          <w:b w:val="false"/>
          <w:i w:val="false"/>
          <w:color w:val="000000"/>
          <w:sz w:val="28"/>
        </w:rPr>
        <w:t>Приказ Министра юстиции Республики Казахстан от 28 сентября 2020 года № 417. Зарегистрирован в Министерстве юстиции Республики Казахстан 30 сентября 2020 года № 21331</w:t>
      </w:r>
    </w:p>
    <w:p>
      <w:pPr>
        <w:spacing w:after="0"/>
        <w:ind w:left="0"/>
        <w:jc w:val="both"/>
      </w:pPr>
      <w:bookmarkStart w:name="z4" w:id="0"/>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4мая 2020 года № 28 "Об утверждении Правила оказания государственной услуги "Государственная регистрация прав (обременений прав) на недвижимое имущество" (зарегистрирован в Реестре государственной регистрации нормативных правовых актов под№ 20610, опубликован 12 мая 2020 года в Эталонном контрольном банке нормативных правовых актов Республики Казахстан в электронном виде),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оказания государственной услуги "Государственная регистрация прав (обременений прав) на недвижимое имущество":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xml:space="preserve">
      "1. Настоящие Правила оказания государственной услуги "Государственная регистрация прав (обременений) на недвижимое имущество"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и определяют порядок оказания государственной услуги "Государственная регистрация прав (обременений) на недвижимое имущество".</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xml:space="preserve">
      "3. Для получения государственной услуги физические и (или) юридические лица (далее - услугополучатель) подают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настоящим Правилам с приложением документов в соответствии со Стандартом государственной услуги "Государственная регистрация прав (обременений) на недвижимое имущество" (далее – Стандарт)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через услугодателя по местонахождению объекта недвижимого имущества услугополучателя или через веб-портал "электронного правительства": www.egov.kz (далее – портал).</w:t>
      </w:r>
    </w:p>
    <w:bookmarkEnd w:id="4"/>
    <w:bookmarkStart w:name="z11" w:id="5"/>
    <w:p>
      <w:pPr>
        <w:spacing w:after="0"/>
        <w:ind w:left="0"/>
        <w:jc w:val="both"/>
      </w:pPr>
      <w:r>
        <w:rPr>
          <w:rFonts w:ascii="Times New Roman"/>
          <w:b w:val="false"/>
          <w:i w:val="false"/>
          <w:color w:val="000000"/>
          <w:sz w:val="28"/>
        </w:rPr>
        <w:t>
      При электронной регистрации государственная услуга оказывается через единую нотариальную информационную систему (далее – ЕНИС).".</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13" w:id="6"/>
    <w:p>
      <w:pPr>
        <w:spacing w:after="0"/>
        <w:ind w:left="0"/>
        <w:jc w:val="both"/>
      </w:pPr>
      <w:r>
        <w:rPr>
          <w:rFonts w:ascii="Times New Roman"/>
          <w:b w:val="false"/>
          <w:i w:val="false"/>
          <w:color w:val="000000"/>
          <w:sz w:val="28"/>
        </w:rPr>
        <w:t>
      "4.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в Стандарте.</w:t>
      </w:r>
    </w:p>
    <w:bookmarkEnd w:id="6"/>
    <w:bookmarkStart w:name="z14" w:id="7"/>
    <w:p>
      <w:pPr>
        <w:spacing w:after="0"/>
        <w:ind w:left="0"/>
        <w:jc w:val="both"/>
      </w:pPr>
      <w:r>
        <w:rPr>
          <w:rFonts w:ascii="Times New Roman"/>
          <w:b w:val="false"/>
          <w:i w:val="false"/>
          <w:color w:val="000000"/>
          <w:sz w:val="28"/>
        </w:rPr>
        <w:t>
      При приеме документов через услугодателя работник услугодателя по приему документов сверяет документ, удостоверяющий личность услугополучателя со сведениями, содержащимися в государственных информационных системах, после чего возвращает его услугополучателю.</w:t>
      </w:r>
    </w:p>
    <w:bookmarkEnd w:id="7"/>
    <w:bookmarkStart w:name="z15" w:id="8"/>
    <w:p>
      <w:pPr>
        <w:spacing w:after="0"/>
        <w:ind w:left="0"/>
        <w:jc w:val="both"/>
      </w:pPr>
      <w:r>
        <w:rPr>
          <w:rFonts w:ascii="Times New Roman"/>
          <w:b w:val="false"/>
          <w:i w:val="false"/>
          <w:color w:val="000000"/>
          <w:sz w:val="28"/>
        </w:rPr>
        <w:t>
      Если сделка нотариально не удостоверена, то регистрирующий орган обязан проверить подлинности подписи лиц, совершивших сделку (уполномоченных их представителей), их дееспособность (правоспособность), а также соответствие их воли волеизъявлению.</w:t>
      </w:r>
    </w:p>
    <w:bookmarkEnd w:id="8"/>
    <w:bookmarkStart w:name="z16" w:id="9"/>
    <w:p>
      <w:pPr>
        <w:spacing w:after="0"/>
        <w:ind w:left="0"/>
        <w:jc w:val="both"/>
      </w:pPr>
      <w:r>
        <w:rPr>
          <w:rFonts w:ascii="Times New Roman"/>
          <w:b w:val="false"/>
          <w:i w:val="false"/>
          <w:color w:val="000000"/>
          <w:sz w:val="28"/>
        </w:rPr>
        <w:t>
      Подтверждением завершения процедуры проверки подлинности подписи лиц, совершивших сделку (уполномоченных их представителей), их дееспособность (правоспособность), а также соответствие их воли волеизъявлению является проставление отметки и подписи работника услугодателя на экземплярах договора.</w:t>
      </w:r>
    </w:p>
    <w:bookmarkEnd w:id="9"/>
    <w:bookmarkStart w:name="z17" w:id="10"/>
    <w:p>
      <w:pPr>
        <w:spacing w:after="0"/>
        <w:ind w:left="0"/>
        <w:jc w:val="both"/>
      </w:pPr>
      <w:r>
        <w:rPr>
          <w:rFonts w:ascii="Times New Roman"/>
          <w:b w:val="false"/>
          <w:i w:val="false"/>
          <w:color w:val="000000"/>
          <w:sz w:val="28"/>
        </w:rPr>
        <w:t>
      При представлении услугополучателем неполного пакета документов услугодатель отказывает в приеме документов с выдачей расписки по форме, согласно приложению 4 к настоящим Правилам.</w:t>
      </w:r>
    </w:p>
    <w:bookmarkEnd w:id="10"/>
    <w:bookmarkStart w:name="z18" w:id="11"/>
    <w:p>
      <w:pPr>
        <w:spacing w:after="0"/>
        <w:ind w:left="0"/>
        <w:jc w:val="both"/>
      </w:pPr>
      <w:r>
        <w:rPr>
          <w:rFonts w:ascii="Times New Roman"/>
          <w:b w:val="false"/>
          <w:i w:val="false"/>
          <w:color w:val="000000"/>
          <w:sz w:val="28"/>
        </w:rPr>
        <w:t>
      При предъявлении услугодателю полного пакета документов услугополучателю выдается расписка о приеме документов с указанием даты и времени получения результата государственной услуги.</w:t>
      </w:r>
    </w:p>
    <w:bookmarkEnd w:id="11"/>
    <w:bookmarkStart w:name="z19" w:id="12"/>
    <w:p>
      <w:pPr>
        <w:spacing w:after="0"/>
        <w:ind w:left="0"/>
        <w:jc w:val="both"/>
      </w:pPr>
      <w:r>
        <w:rPr>
          <w:rFonts w:ascii="Times New Roman"/>
          <w:b w:val="false"/>
          <w:i w:val="false"/>
          <w:color w:val="000000"/>
          <w:sz w:val="28"/>
        </w:rPr>
        <w:t>
      Услугополучатель может обратиться с ходатайством о прекращении рассмотрения заявления.</w:t>
      </w:r>
    </w:p>
    <w:bookmarkEnd w:id="12"/>
    <w:bookmarkStart w:name="z20" w:id="13"/>
    <w:p>
      <w:pPr>
        <w:spacing w:after="0"/>
        <w:ind w:left="0"/>
        <w:jc w:val="both"/>
      </w:pPr>
      <w:r>
        <w:rPr>
          <w:rFonts w:ascii="Times New Roman"/>
          <w:b w:val="false"/>
          <w:i w:val="false"/>
          <w:color w:val="000000"/>
          <w:sz w:val="28"/>
        </w:rPr>
        <w:t>
      При этом ходатайство услугополучатель подает через канцелярию услугодателя, по местонахождению объекта недвижимого имущества услугополучателя.".</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22" w:id="14"/>
    <w:p>
      <w:pPr>
        <w:spacing w:after="0"/>
        <w:ind w:left="0"/>
        <w:jc w:val="both"/>
      </w:pPr>
      <w:r>
        <w:rPr>
          <w:rFonts w:ascii="Times New Roman"/>
          <w:b w:val="false"/>
          <w:i w:val="false"/>
          <w:color w:val="000000"/>
          <w:sz w:val="28"/>
        </w:rPr>
        <w:t>
      "7. Оказание государственной услуги приостанавливается не более чем на один месяц по основаниям, указанным в Стандарте.</w:t>
      </w:r>
    </w:p>
    <w:bookmarkEnd w:id="14"/>
    <w:bookmarkStart w:name="z23" w:id="15"/>
    <w:p>
      <w:pPr>
        <w:spacing w:after="0"/>
        <w:ind w:left="0"/>
        <w:jc w:val="both"/>
      </w:pPr>
      <w:r>
        <w:rPr>
          <w:rFonts w:ascii="Times New Roman"/>
          <w:b w:val="false"/>
          <w:i w:val="false"/>
          <w:color w:val="000000"/>
          <w:sz w:val="28"/>
        </w:rPr>
        <w:t>
      При этом решение о приостановлении государственной регистрации может быть принято услугодателем с момента приема документов на государственную регистрацию до момента выдачи документа, но не позднее истечения срока государственной регистрации.</w:t>
      </w:r>
    </w:p>
    <w:bookmarkEnd w:id="15"/>
    <w:bookmarkStart w:name="z24" w:id="16"/>
    <w:p>
      <w:pPr>
        <w:spacing w:after="0"/>
        <w:ind w:left="0"/>
        <w:jc w:val="both"/>
      </w:pPr>
      <w:r>
        <w:rPr>
          <w:rFonts w:ascii="Times New Roman"/>
          <w:b w:val="false"/>
          <w:i w:val="false"/>
          <w:color w:val="000000"/>
          <w:sz w:val="28"/>
        </w:rPr>
        <w:t>
      При приостановлении оказания государственной услуги услугодатель направляет услугополучателю, в единую нотариальную информационную систему (далее – ЕНИС), на электронные адреса участников сделки (при наличии) письменное уведомление с указанием причин и сроков приостановления, даты и регистрационного номера документа.".</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26" w:id="17"/>
    <w:p>
      <w:pPr>
        <w:spacing w:after="0"/>
        <w:ind w:left="0"/>
        <w:jc w:val="both"/>
      </w:pPr>
      <w:r>
        <w:rPr>
          <w:rFonts w:ascii="Times New Roman"/>
          <w:b w:val="false"/>
          <w:i w:val="false"/>
          <w:color w:val="000000"/>
          <w:sz w:val="28"/>
        </w:rPr>
        <w:t>
      "8. Результатом оказания государственной услуги является выдача документа с отметкой о произведенной регистрации, а также выдача свидетельства о государственной регистрации в случаях, предусмотренных законодательными актами Республики Казахстан либо мотивированный ответ об отказе в оказании государственной услуги, по основаниям указанным в пункте 9 Стандарта, подписываемый руководителем услугодателя.</w:t>
      </w:r>
    </w:p>
    <w:bookmarkEnd w:id="17"/>
    <w:bookmarkStart w:name="z27" w:id="18"/>
    <w:p>
      <w:pPr>
        <w:spacing w:after="0"/>
        <w:ind w:left="0"/>
        <w:jc w:val="both"/>
      </w:pPr>
      <w:r>
        <w:rPr>
          <w:rFonts w:ascii="Times New Roman"/>
          <w:b w:val="false"/>
          <w:i w:val="false"/>
          <w:color w:val="000000"/>
          <w:sz w:val="28"/>
        </w:rPr>
        <w:t>
      При электронной регистрации посредством ЕНИС услугодатель направляет уведомление о произведенной регистрации, либо мотивированный ответ об отказе в оказании государственной услуги по основаниям, указанным в пункте 9 Стандарта в форме электронных документов, удостоверенных электронно-цифровой подписью (далее – ЭЦП) руководителя услугодателя в ЕНИС, а также на электронные адреса участников сделки (при наличии).</w:t>
      </w:r>
    </w:p>
    <w:bookmarkEnd w:id="18"/>
    <w:bookmarkStart w:name="z28" w:id="19"/>
    <w:p>
      <w:pPr>
        <w:spacing w:after="0"/>
        <w:ind w:left="0"/>
        <w:jc w:val="both"/>
      </w:pPr>
      <w:r>
        <w:rPr>
          <w:rFonts w:ascii="Times New Roman"/>
          <w:b w:val="false"/>
          <w:i w:val="false"/>
          <w:color w:val="000000"/>
          <w:sz w:val="28"/>
        </w:rPr>
        <w:t>
      В случае электронной регистрации нотариально не удостоверенных сделок (договора купли-продажи, дарения и передачи) услугодатель выдает уведомление о произведенной регистрации либо мотивированный ответ об отказе в оказании государственной услуги по основаниям, указанным в пункте 9 Стандарта в форме электронных документов, удостоверенных ЭЦП руководителя, а также направляет на электронные адреса участников сделки (при наличии).</w:t>
      </w:r>
    </w:p>
    <w:bookmarkEnd w:id="19"/>
    <w:bookmarkStart w:name="z29" w:id="20"/>
    <w:p>
      <w:pPr>
        <w:spacing w:after="0"/>
        <w:ind w:left="0"/>
        <w:jc w:val="both"/>
      </w:pPr>
      <w:r>
        <w:rPr>
          <w:rFonts w:ascii="Times New Roman"/>
          <w:b w:val="false"/>
          <w:i w:val="false"/>
          <w:color w:val="000000"/>
          <w:sz w:val="28"/>
        </w:rPr>
        <w:t>
      При приеме и регистрации прав на недвижимое имущество на основании утвержденного акта приемки объекта в эксплуатацию  результатом является правоустанавливающий документ на недвижимое имущество (акт приемки объекта недвижимости в эксплуатацию) с отметкой о внесении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либо мотивированный ответ об отказе в оказании государственной услуги по основаниям, указанным в пункте 9 Стандарта, подписываемый руководителем услугодателя.</w:t>
      </w:r>
    </w:p>
    <w:bookmarkEnd w:id="20"/>
    <w:bookmarkStart w:name="z30" w:id="21"/>
    <w:p>
      <w:pPr>
        <w:spacing w:after="0"/>
        <w:ind w:left="0"/>
        <w:jc w:val="both"/>
      </w:pPr>
      <w:r>
        <w:rPr>
          <w:rFonts w:ascii="Times New Roman"/>
          <w:b w:val="false"/>
          <w:i w:val="false"/>
          <w:color w:val="000000"/>
          <w:sz w:val="28"/>
        </w:rPr>
        <w:t>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 установленном законодательством".</w:t>
      </w:r>
    </w:p>
    <w:bookmarkEnd w:id="21"/>
    <w:bookmarkStart w:name="z31" w:id="22"/>
    <w:p>
      <w:pPr>
        <w:spacing w:after="0"/>
        <w:ind w:left="0"/>
        <w:jc w:val="both"/>
      </w:pPr>
      <w:r>
        <w:rPr>
          <w:rFonts w:ascii="Times New Roman"/>
          <w:b w:val="false"/>
          <w:i w:val="false"/>
          <w:color w:val="000000"/>
          <w:sz w:val="28"/>
        </w:rPr>
        <w:t>
      В Стандарте государственной услуги "Государственная регистрация прав (обременений) на недвижимое имущество":</w:t>
      </w:r>
    </w:p>
    <w:bookmarkEnd w:id="22"/>
    <w:bookmarkStart w:name="z32" w:id="23"/>
    <w:p>
      <w:pPr>
        <w:spacing w:after="0"/>
        <w:ind w:left="0"/>
        <w:jc w:val="both"/>
      </w:pPr>
      <w:r>
        <w:rPr>
          <w:rFonts w:ascii="Times New Roman"/>
          <w:b w:val="false"/>
          <w:i w:val="false"/>
          <w:color w:val="000000"/>
          <w:sz w:val="28"/>
        </w:rPr>
        <w:t>
      пункт 3 изложить в следующей редакции:</w:t>
      </w:r>
    </w:p>
    <w:bookmarkEnd w:id="23"/>
    <w:bookmarkStart w:name="z33" w:id="24"/>
    <w:p>
      <w:pPr>
        <w:spacing w:after="0"/>
        <w:ind w:left="0"/>
        <w:jc w:val="both"/>
      </w:pPr>
      <w:r>
        <w:rPr>
          <w:rFonts w:ascii="Times New Roman"/>
          <w:b w:val="false"/>
          <w:i w:val="false"/>
          <w:color w:val="000000"/>
          <w:sz w:val="28"/>
        </w:rPr>
        <w:t>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0"/>
        <w:gridCol w:w="970"/>
        <w:gridCol w:w="10360"/>
      </w:tblGrid>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5"/>
          <w:p>
            <w:pPr>
              <w:spacing w:after="20"/>
              <w:ind w:left="20"/>
              <w:jc w:val="both"/>
            </w:pPr>
            <w:r>
              <w:rPr>
                <w:rFonts w:ascii="Times New Roman"/>
                <w:b w:val="false"/>
                <w:i w:val="false"/>
                <w:color w:val="000000"/>
                <w:sz w:val="20"/>
              </w:rPr>
              <w:t>
С момента сдачи пакета документов услугополучателем при обращении к услугодателю:</w:t>
            </w:r>
            <w:r>
              <w:br/>
            </w:r>
            <w:r>
              <w:rPr>
                <w:rFonts w:ascii="Times New Roman"/>
                <w:b w:val="false"/>
                <w:i w:val="false"/>
                <w:color w:val="000000"/>
                <w:sz w:val="20"/>
              </w:rPr>
              <w:t>
</w:t>
            </w:r>
            <w:r>
              <w:rPr>
                <w:rFonts w:ascii="Times New Roman"/>
                <w:b w:val="false"/>
                <w:i w:val="false"/>
                <w:color w:val="000000"/>
                <w:sz w:val="20"/>
              </w:rPr>
              <w:t>по государственной регистрации возникновения, изменения или прекращения прав (обременений прав) на недвижимое имущество и иных объектов государственной регистрации, за исключением нотариально не удостоверенных сделок – в течение трех рабочих дней с момента поступления заявления услугодателю.</w:t>
            </w:r>
            <w:r>
              <w:br/>
            </w:r>
            <w:r>
              <w:rPr>
                <w:rFonts w:ascii="Times New Roman"/>
                <w:b w:val="false"/>
                <w:i w:val="false"/>
                <w:color w:val="000000"/>
                <w:sz w:val="20"/>
              </w:rPr>
              <w:t>
</w:t>
            </w:r>
            <w:r>
              <w:rPr>
                <w:rFonts w:ascii="Times New Roman"/>
                <w:b w:val="false"/>
                <w:i w:val="false"/>
                <w:color w:val="000000"/>
                <w:sz w:val="20"/>
              </w:rPr>
              <w:t>День приема документов не входит в срок оказания государственной услуги, при этом результат оказания государственной услуги предоставляет за день до окончания срока оказания;</w:t>
            </w:r>
            <w:r>
              <w:br/>
            </w:r>
            <w:r>
              <w:rPr>
                <w:rFonts w:ascii="Times New Roman"/>
                <w:b w:val="false"/>
                <w:i w:val="false"/>
                <w:color w:val="000000"/>
                <w:sz w:val="20"/>
              </w:rPr>
              <w:t>
</w:t>
            </w:r>
            <w:r>
              <w:rPr>
                <w:rFonts w:ascii="Times New Roman"/>
                <w:b w:val="false"/>
                <w:i w:val="false"/>
                <w:color w:val="000000"/>
                <w:sz w:val="20"/>
              </w:rPr>
              <w:t>по государственной регистрации по нотариально не удостоверенной сделке – в течение одного рабочего дня с момента поступления заявления к услугодателю.</w:t>
            </w:r>
            <w:r>
              <w:br/>
            </w:r>
            <w:r>
              <w:rPr>
                <w:rFonts w:ascii="Times New Roman"/>
                <w:b w:val="false"/>
                <w:i w:val="false"/>
                <w:color w:val="000000"/>
                <w:sz w:val="20"/>
              </w:rPr>
              <w:t>
</w:t>
            </w:r>
            <w:r>
              <w:rPr>
                <w:rFonts w:ascii="Times New Roman"/>
                <w:b w:val="false"/>
                <w:i w:val="false"/>
                <w:color w:val="000000"/>
                <w:sz w:val="20"/>
              </w:rPr>
              <w:t>При этом, в случае обращения услугополучателя к услугодателю через Портал указанный срок в течении трех рабочих дней исчисляется с момента подтверждения оплаты через платежный шлюз электронного правительства.</w:t>
            </w:r>
            <w:r>
              <w:br/>
            </w:r>
            <w:r>
              <w:rPr>
                <w:rFonts w:ascii="Times New Roman"/>
                <w:b w:val="false"/>
                <w:i w:val="false"/>
                <w:color w:val="000000"/>
                <w:sz w:val="20"/>
              </w:rPr>
              <w:t>
</w:t>
            </w:r>
            <w:r>
              <w:rPr>
                <w:rFonts w:ascii="Times New Roman"/>
                <w:b w:val="false"/>
                <w:i w:val="false"/>
                <w:color w:val="000000"/>
                <w:sz w:val="20"/>
              </w:rPr>
              <w:t>Максимально допустимое время ожидания для сдачи пакета документов услугополучателем услугодателю – 20 минут;</w:t>
            </w:r>
            <w:r>
              <w:br/>
            </w:r>
            <w:r>
              <w:rPr>
                <w:rFonts w:ascii="Times New Roman"/>
                <w:b w:val="false"/>
                <w:i w:val="false"/>
                <w:color w:val="000000"/>
                <w:sz w:val="20"/>
              </w:rPr>
              <w:t>
</w:t>
            </w:r>
            <w:r>
              <w:rPr>
                <w:rFonts w:ascii="Times New Roman"/>
                <w:b w:val="false"/>
                <w:i w:val="false"/>
                <w:color w:val="000000"/>
                <w:sz w:val="20"/>
              </w:rPr>
              <w:t>Максимально допустимое время обслуживания услугополучателя – 20 минут.</w:t>
            </w:r>
            <w:r>
              <w:br/>
            </w:r>
            <w:r>
              <w:rPr>
                <w:rFonts w:ascii="Times New Roman"/>
                <w:b w:val="false"/>
                <w:i w:val="false"/>
                <w:color w:val="000000"/>
                <w:sz w:val="20"/>
              </w:rPr>
              <w:t>
</w:t>
            </w:r>
            <w:r>
              <w:rPr>
                <w:rFonts w:ascii="Times New Roman"/>
                <w:b w:val="false"/>
                <w:i w:val="false"/>
                <w:color w:val="000000"/>
                <w:sz w:val="20"/>
              </w:rPr>
              <w:t>Государственная услуга приостанавливается не более чем на один месяц в следующих случаях:</w:t>
            </w:r>
            <w:r>
              <w:br/>
            </w:r>
            <w:r>
              <w:rPr>
                <w:rFonts w:ascii="Times New Roman"/>
                <w:b w:val="false"/>
                <w:i w:val="false"/>
                <w:color w:val="000000"/>
                <w:sz w:val="20"/>
              </w:rPr>
              <w:t>
</w:t>
            </w:r>
            <w:r>
              <w:rPr>
                <w:rFonts w:ascii="Times New Roman"/>
                <w:b w:val="false"/>
                <w:i w:val="false"/>
                <w:color w:val="000000"/>
                <w:sz w:val="20"/>
              </w:rPr>
              <w:t>1) по постановлению (определению) суда на основании исковых и иных заявлений (жалоб), поданных в суд;</w:t>
            </w:r>
            <w:r>
              <w:br/>
            </w:r>
            <w:r>
              <w:rPr>
                <w:rFonts w:ascii="Times New Roman"/>
                <w:b w:val="false"/>
                <w:i w:val="false"/>
                <w:color w:val="000000"/>
                <w:sz w:val="20"/>
              </w:rPr>
              <w:t>
</w:t>
            </w:r>
            <w:r>
              <w:rPr>
                <w:rFonts w:ascii="Times New Roman"/>
                <w:b w:val="false"/>
                <w:i w:val="false"/>
                <w:color w:val="000000"/>
                <w:sz w:val="20"/>
              </w:rPr>
              <w:t>2) в соответствии с актами прокурорского надзора до устранения нарушения закона;</w:t>
            </w:r>
            <w:r>
              <w:br/>
            </w:r>
            <w:r>
              <w:rPr>
                <w:rFonts w:ascii="Times New Roman"/>
                <w:b w:val="false"/>
                <w:i w:val="false"/>
                <w:color w:val="000000"/>
                <w:sz w:val="20"/>
              </w:rPr>
              <w:t>
</w:t>
            </w:r>
            <w:r>
              <w:rPr>
                <w:rFonts w:ascii="Times New Roman"/>
                <w:b w:val="false"/>
                <w:i w:val="false"/>
                <w:color w:val="000000"/>
                <w:sz w:val="20"/>
              </w:rPr>
              <w:t xml:space="preserve">3)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28 августа 2009 года "О противодействии легализации (отмыванию) доходов, полученных незаконным путем, и финансированию терроризма";</w:t>
            </w:r>
            <w:r>
              <w:br/>
            </w:r>
            <w:r>
              <w:rPr>
                <w:rFonts w:ascii="Times New Roman"/>
                <w:b w:val="false"/>
                <w:i w:val="false"/>
                <w:color w:val="000000"/>
                <w:sz w:val="20"/>
              </w:rPr>
              <w:t>
</w:t>
            </w:r>
            <w:r>
              <w:rPr>
                <w:rFonts w:ascii="Times New Roman"/>
                <w:b w:val="false"/>
                <w:i w:val="false"/>
                <w:color w:val="000000"/>
                <w:sz w:val="20"/>
              </w:rPr>
              <w:t>4) для представления заявителем документов, необходимых для государственной регистрации, если отсутствие необходимых документов не явилось основанием для отказа в приеме документов на регистрацию;</w:t>
            </w:r>
            <w:r>
              <w:br/>
            </w:r>
            <w:r>
              <w:rPr>
                <w:rFonts w:ascii="Times New Roman"/>
                <w:b w:val="false"/>
                <w:i w:val="false"/>
                <w:color w:val="000000"/>
                <w:sz w:val="20"/>
              </w:rPr>
              <w:t>
</w:t>
            </w:r>
            <w:r>
              <w:rPr>
                <w:rFonts w:ascii="Times New Roman"/>
                <w:b w:val="false"/>
                <w:i w:val="false"/>
                <w:color w:val="000000"/>
                <w:sz w:val="20"/>
              </w:rPr>
              <w:t>5) для получения разъяснений или истребования от государственных органов необходимой информации в связи с ее отсутствием в документах, исходящих от таких органов, или наличием противоречий в таких документах, если указанные обстоятельства не явились основаниями для отказа в приеме документов на регистрацию;</w:t>
            </w:r>
            <w:r>
              <w:br/>
            </w:r>
            <w:r>
              <w:rPr>
                <w:rFonts w:ascii="Times New Roman"/>
                <w:b w:val="false"/>
                <w:i w:val="false"/>
                <w:color w:val="000000"/>
                <w:sz w:val="20"/>
              </w:rPr>
              <w:t>
</w:t>
            </w:r>
            <w:r>
              <w:rPr>
                <w:rFonts w:ascii="Times New Roman"/>
                <w:b w:val="false"/>
                <w:i w:val="false"/>
                <w:color w:val="000000"/>
                <w:sz w:val="20"/>
              </w:rPr>
              <w:t>6) при несоответствии объекта регистрации, устанавливаемого на основании правоустанавливающих документов, и объекта регистрации, указанного в заявлении, для устранения противоречия между ними.</w:t>
            </w:r>
            <w:r>
              <w:br/>
            </w:r>
            <w:r>
              <w:rPr>
                <w:rFonts w:ascii="Times New Roman"/>
                <w:b w:val="false"/>
                <w:i w:val="false"/>
                <w:color w:val="000000"/>
                <w:sz w:val="20"/>
              </w:rPr>
              <w:t>
</w:t>
            </w:r>
            <w:r>
              <w:rPr>
                <w:rFonts w:ascii="Times New Roman"/>
                <w:b w:val="false"/>
                <w:i w:val="false"/>
                <w:color w:val="000000"/>
                <w:sz w:val="20"/>
              </w:rPr>
              <w:t>7) при неполной оплате за государственную регистрацию прав на недвижимое имущество;</w:t>
            </w:r>
            <w:r>
              <w:br/>
            </w:r>
            <w:r>
              <w:rPr>
                <w:rFonts w:ascii="Times New Roman"/>
                <w:b w:val="false"/>
                <w:i w:val="false"/>
                <w:color w:val="000000"/>
                <w:sz w:val="20"/>
              </w:rPr>
              <w:t>
</w:t>
            </w:r>
            <w:r>
              <w:rPr>
                <w:rFonts w:ascii="Times New Roman"/>
                <w:b w:val="false"/>
                <w:i w:val="false"/>
                <w:color w:val="000000"/>
                <w:sz w:val="20"/>
              </w:rPr>
              <w:t>8) если в течение трех рабочих дней с момента поступления электронной копии правоустанавливающего документа в информационную систему правового кадастра не поступило подтверждение об оплате за государственную регистрацию прав на недвижимое имущество или об освобождении лица от оплаты.</w:t>
            </w:r>
            <w:r>
              <w:br/>
            </w:r>
            <w:r>
              <w:rPr>
                <w:rFonts w:ascii="Times New Roman"/>
                <w:b w:val="false"/>
                <w:i w:val="false"/>
                <w:color w:val="000000"/>
                <w:sz w:val="20"/>
              </w:rPr>
              <w:t>
Электронная регистрация не приостанавливается по основаниям, указанным в подпунктах 4) и 6) пункта 3 настоящего стандарта государственной услуги.</w:t>
            </w:r>
          </w:p>
          <w:bookmarkEnd w:id="25"/>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1" w:id="26"/>
    <w:p>
      <w:pPr>
        <w:spacing w:after="0"/>
        <w:ind w:left="0"/>
        <w:jc w:val="both"/>
      </w:pPr>
      <w:r>
        <w:rPr>
          <w:rFonts w:ascii="Times New Roman"/>
          <w:b w:val="false"/>
          <w:i w:val="false"/>
          <w:color w:val="000000"/>
          <w:sz w:val="28"/>
        </w:rPr>
        <w:t>
      дополнить подпунктом 4-1 следующего содержания:</w:t>
      </w:r>
    </w:p>
    <w:bookmarkEnd w:id="26"/>
    <w:bookmarkStart w:name="z52" w:id="27"/>
    <w:p>
      <w:pPr>
        <w:spacing w:after="0"/>
        <w:ind w:left="0"/>
        <w:jc w:val="both"/>
      </w:pPr>
      <w:r>
        <w:rPr>
          <w:rFonts w:ascii="Times New Roman"/>
          <w:b w:val="false"/>
          <w:i w:val="false"/>
          <w:color w:val="000000"/>
          <w:sz w:val="28"/>
        </w:rPr>
        <w:t>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8"/>
        <w:gridCol w:w="1733"/>
        <w:gridCol w:w="9319"/>
      </w:tblGrid>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ведения и учета актов приемки объекта в эксплуатацию</w:t>
            </w:r>
          </w:p>
        </w:tc>
        <w:tc>
          <w:tcPr>
            <w:tcW w:w="9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8"/>
          <w:p>
            <w:pPr>
              <w:spacing w:after="20"/>
              <w:ind w:left="20"/>
              <w:jc w:val="both"/>
            </w:pPr>
            <w:r>
              <w:rPr>
                <w:rFonts w:ascii="Times New Roman"/>
                <w:b w:val="false"/>
                <w:i w:val="false"/>
                <w:color w:val="000000"/>
                <w:sz w:val="20"/>
              </w:rPr>
              <w:t>
1. Услугодатель в течение одного дня с момента получения от услугополучателя утвержденного акта приемки объекта в эксплуатацию с приложением к нему технических характеристик объекта, декларации о соответствии, заключений о качестве строительно-монтажных работ и соответствии выполненных работ утвержденному проекту направляет одновременно:</w:t>
            </w:r>
            <w:r>
              <w:br/>
            </w:r>
            <w:r>
              <w:rPr>
                <w:rFonts w:ascii="Times New Roman"/>
                <w:b w:val="false"/>
                <w:i w:val="false"/>
                <w:color w:val="000000"/>
                <w:sz w:val="20"/>
              </w:rPr>
              <w:t>
</w:t>
            </w:r>
            <w:r>
              <w:rPr>
                <w:rFonts w:ascii="Times New Roman"/>
                <w:b w:val="false"/>
                <w:i w:val="false"/>
                <w:color w:val="000000"/>
                <w:sz w:val="20"/>
              </w:rPr>
              <w:t>1) в структурное подразделение соответствующего местного исполнительного органа, осуществляющее функции в сфере архитектуры и градостроительства по месту нахождения объекта, утвержденный акт приемки объекта в эксплуатацию с приложением к нему технических характеристик объекта</w:t>
            </w:r>
            <w:r>
              <w:br/>
            </w:r>
            <w:r>
              <w:rPr>
                <w:rFonts w:ascii="Times New Roman"/>
                <w:b w:val="false"/>
                <w:i w:val="false"/>
                <w:color w:val="000000"/>
                <w:sz w:val="20"/>
              </w:rPr>
              <w:t>
</w:t>
            </w:r>
            <w:r>
              <w:rPr>
                <w:rFonts w:ascii="Times New Roman"/>
                <w:b w:val="false"/>
                <w:i w:val="false"/>
                <w:color w:val="000000"/>
                <w:sz w:val="20"/>
              </w:rPr>
              <w:t>2) в органы государственного архитектурно-строительного контроля по месту нахождения объекта утвержденный акт приемки объекта в эксплуатацию с приложением к нему технических характеристик объекта, декларации о соответствии и заключений о качестве строительно-монтажных работ и соответствии выполненных работ утвержденному проекту.</w:t>
            </w:r>
            <w:r>
              <w:br/>
            </w:r>
            <w:r>
              <w:rPr>
                <w:rFonts w:ascii="Times New Roman"/>
                <w:b w:val="false"/>
                <w:i w:val="false"/>
                <w:color w:val="000000"/>
                <w:sz w:val="20"/>
              </w:rPr>
              <w:t>
</w:t>
            </w:r>
            <w:r>
              <w:rPr>
                <w:rFonts w:ascii="Times New Roman"/>
                <w:b w:val="false"/>
                <w:i w:val="false"/>
                <w:color w:val="000000"/>
                <w:sz w:val="20"/>
              </w:rPr>
              <w:t>2. Местные исполнительные органы, осуществляющие функции в сфере архитектуры и градостроительства, до истечения одного рабочего дня с момента получения документов от услугодателя проводят сверку на соблюдение заказчиком процедур, определенных правилами организации застройки и прохождения разрешительных процедур, и производят учет акта приемки в эксплуатацию.</w:t>
            </w:r>
            <w:r>
              <w:br/>
            </w:r>
            <w:r>
              <w:rPr>
                <w:rFonts w:ascii="Times New Roman"/>
                <w:b w:val="false"/>
                <w:i w:val="false"/>
                <w:color w:val="000000"/>
                <w:sz w:val="20"/>
              </w:rPr>
              <w:t>
</w:t>
            </w:r>
            <w:r>
              <w:rPr>
                <w:rFonts w:ascii="Times New Roman"/>
                <w:b w:val="false"/>
                <w:i w:val="false"/>
                <w:color w:val="000000"/>
                <w:sz w:val="20"/>
              </w:rPr>
              <w:t>По итогам сверки в случае установления несоответствия объекта строительства требованиям правил организации застройки и прохождения разрешительных процедур в течение одного рабочего дня с момента получения документов от услугодателя письменно информируют об этом органы государственного архитектурно-строительного контроля и регистрирующий орган.</w:t>
            </w:r>
            <w:r>
              <w:br/>
            </w:r>
            <w:r>
              <w:rPr>
                <w:rFonts w:ascii="Times New Roman"/>
                <w:b w:val="false"/>
                <w:i w:val="false"/>
                <w:color w:val="000000"/>
                <w:sz w:val="20"/>
              </w:rPr>
              <w:t>
</w:t>
            </w:r>
            <w:r>
              <w:rPr>
                <w:rFonts w:ascii="Times New Roman"/>
                <w:b w:val="false"/>
                <w:i w:val="false"/>
                <w:color w:val="000000"/>
                <w:sz w:val="20"/>
              </w:rPr>
              <w:t>В случае отсутствия несоответствия в течение одного рабочего дня с момента получения документов от услугодателя письменно информируют регистрирующий орган.</w:t>
            </w:r>
            <w:r>
              <w:br/>
            </w:r>
            <w:r>
              <w:rPr>
                <w:rFonts w:ascii="Times New Roman"/>
                <w:b w:val="false"/>
                <w:i w:val="false"/>
                <w:color w:val="000000"/>
                <w:sz w:val="20"/>
              </w:rPr>
              <w:t>
</w:t>
            </w:r>
            <w:r>
              <w:rPr>
                <w:rFonts w:ascii="Times New Roman"/>
                <w:b w:val="false"/>
                <w:i w:val="false"/>
                <w:color w:val="000000"/>
                <w:sz w:val="20"/>
              </w:rPr>
              <w:t>3. Органы государственного архитектурно-строительного контроля до истечения одного рабочего дня с момента получения документов от услугодателя проводят сверку на предмет соблюдения заказчиком норм и требований, установленных законодательством Республики Казахстан об архитектурной, градостроительной и строительной деятельности.</w:t>
            </w:r>
            <w:r>
              <w:br/>
            </w:r>
            <w:r>
              <w:rPr>
                <w:rFonts w:ascii="Times New Roman"/>
                <w:b w:val="false"/>
                <w:i w:val="false"/>
                <w:color w:val="000000"/>
                <w:sz w:val="20"/>
              </w:rPr>
              <w:t>
</w:t>
            </w:r>
            <w:r>
              <w:rPr>
                <w:rFonts w:ascii="Times New Roman"/>
                <w:b w:val="false"/>
                <w:i w:val="false"/>
                <w:color w:val="000000"/>
                <w:sz w:val="20"/>
              </w:rPr>
              <w:t>При выявлении нарушений в течение одного рабочего дня с момента получения документов от услугодателя письменно информируют об этом регистрирующий орган и применяют меры ответственности в соответствии с законодательством Республики Казахстан.</w:t>
            </w:r>
            <w:r>
              <w:br/>
            </w:r>
            <w:r>
              <w:rPr>
                <w:rFonts w:ascii="Times New Roman"/>
                <w:b w:val="false"/>
                <w:i w:val="false"/>
                <w:color w:val="000000"/>
                <w:sz w:val="20"/>
              </w:rPr>
              <w:t>
В случае отсутствия нарушений в течение одного рабочего дня с момента получения документов от услугодателя письменно информируют об этом регистрирующий орган.</w:t>
            </w:r>
          </w:p>
          <w:bookmarkEnd w:id="2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2" w:id="29"/>
    <w:p>
      <w:pPr>
        <w:spacing w:after="0"/>
        <w:ind w:left="0"/>
        <w:jc w:val="both"/>
      </w:pPr>
      <w:r>
        <w:rPr>
          <w:rFonts w:ascii="Times New Roman"/>
          <w:b w:val="false"/>
          <w:i w:val="false"/>
          <w:color w:val="000000"/>
          <w:sz w:val="28"/>
        </w:rPr>
        <w:t>
      пункт 5 изложить в следующей редакции:</w:t>
      </w:r>
    </w:p>
    <w:bookmarkEnd w:id="29"/>
    <w:bookmarkStart w:name="z63" w:id="30"/>
    <w:p>
      <w:pPr>
        <w:spacing w:after="0"/>
        <w:ind w:left="0"/>
        <w:jc w:val="both"/>
      </w:pPr>
      <w:r>
        <w:rPr>
          <w:rFonts w:ascii="Times New Roman"/>
          <w:b w:val="false"/>
          <w:i w:val="false"/>
          <w:color w:val="000000"/>
          <w:sz w:val="28"/>
        </w:rPr>
        <w:t>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0"/>
        <w:gridCol w:w="1830"/>
        <w:gridCol w:w="8640"/>
      </w:tblGrid>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8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1"/>
          <w:p>
            <w:pPr>
              <w:spacing w:after="20"/>
              <w:ind w:left="20"/>
              <w:jc w:val="both"/>
            </w:pPr>
            <w:r>
              <w:rPr>
                <w:rFonts w:ascii="Times New Roman"/>
                <w:b w:val="false"/>
                <w:i w:val="false"/>
                <w:color w:val="000000"/>
                <w:sz w:val="20"/>
              </w:rPr>
              <w:t>
При обращении к услугодателю:</w:t>
            </w:r>
            <w:r>
              <w:br/>
            </w:r>
            <w:r>
              <w:rPr>
                <w:rFonts w:ascii="Times New Roman"/>
                <w:b w:val="false"/>
                <w:i w:val="false"/>
                <w:color w:val="000000"/>
                <w:sz w:val="20"/>
              </w:rPr>
              <w:t>
</w:t>
            </w:r>
            <w:r>
              <w:rPr>
                <w:rFonts w:ascii="Times New Roman"/>
                <w:b w:val="false"/>
                <w:i w:val="false"/>
                <w:color w:val="000000"/>
                <w:sz w:val="20"/>
              </w:rPr>
              <w:t>1) правоустанавливающий документ с отметкой о произведенной государственной регистрации прав (обременений) на недвижимое имущество;</w:t>
            </w:r>
            <w:r>
              <w:br/>
            </w:r>
            <w:r>
              <w:rPr>
                <w:rFonts w:ascii="Times New Roman"/>
                <w:b w:val="false"/>
                <w:i w:val="false"/>
                <w:color w:val="000000"/>
                <w:sz w:val="20"/>
              </w:rPr>
              <w:t>
</w:t>
            </w:r>
            <w:r>
              <w:rPr>
                <w:rFonts w:ascii="Times New Roman"/>
                <w:b w:val="false"/>
                <w:i w:val="false"/>
                <w:color w:val="000000"/>
                <w:sz w:val="20"/>
              </w:rPr>
              <w:t>2) свидетельство о государственной регистрации в случаях, предусмотренных законодательными актами Республики Казахстан.</w:t>
            </w:r>
            <w:r>
              <w:br/>
            </w:r>
            <w:r>
              <w:rPr>
                <w:rFonts w:ascii="Times New Roman"/>
                <w:b w:val="false"/>
                <w:i w:val="false"/>
                <w:color w:val="000000"/>
                <w:sz w:val="20"/>
              </w:rPr>
              <w:t>
</w:t>
            </w:r>
            <w:r>
              <w:rPr>
                <w:rFonts w:ascii="Times New Roman"/>
                <w:b w:val="false"/>
                <w:i w:val="false"/>
                <w:color w:val="000000"/>
                <w:sz w:val="20"/>
              </w:rPr>
              <w:t>3) мотивированный ответ об отказе в оказании государственной услуги.</w:t>
            </w:r>
            <w:r>
              <w:br/>
            </w:r>
            <w:r>
              <w:rPr>
                <w:rFonts w:ascii="Times New Roman"/>
                <w:b w:val="false"/>
                <w:i w:val="false"/>
                <w:color w:val="000000"/>
                <w:sz w:val="20"/>
              </w:rPr>
              <w:t>
</w:t>
            </w:r>
            <w:r>
              <w:rPr>
                <w:rFonts w:ascii="Times New Roman"/>
                <w:b w:val="false"/>
                <w:i w:val="false"/>
                <w:color w:val="000000"/>
                <w:sz w:val="20"/>
              </w:rPr>
              <w:t>При обращении посредством ПЭП/ЕНИС:</w:t>
            </w:r>
            <w:r>
              <w:br/>
            </w:r>
            <w:r>
              <w:rPr>
                <w:rFonts w:ascii="Times New Roman"/>
                <w:b w:val="false"/>
                <w:i w:val="false"/>
                <w:color w:val="000000"/>
                <w:sz w:val="20"/>
              </w:rPr>
              <w:t>
</w:t>
            </w:r>
            <w:r>
              <w:rPr>
                <w:rFonts w:ascii="Times New Roman"/>
                <w:b w:val="false"/>
                <w:i w:val="false"/>
                <w:color w:val="000000"/>
                <w:sz w:val="20"/>
              </w:rPr>
              <w:t>1) уведомление о произведенной регистрации государственной регистрации;</w:t>
            </w:r>
            <w:r>
              <w:br/>
            </w:r>
            <w:r>
              <w:rPr>
                <w:rFonts w:ascii="Times New Roman"/>
                <w:b w:val="false"/>
                <w:i w:val="false"/>
                <w:color w:val="000000"/>
                <w:sz w:val="20"/>
              </w:rPr>
              <w:t>
2) мотивированный ответ об отказе в оказании государственной услуги.</w:t>
            </w:r>
          </w:p>
          <w:bookmarkEnd w:id="3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1" w:id="32"/>
    <w:p>
      <w:pPr>
        <w:spacing w:after="0"/>
        <w:ind w:left="0"/>
        <w:jc w:val="both"/>
      </w:pPr>
      <w:r>
        <w:rPr>
          <w:rFonts w:ascii="Times New Roman"/>
          <w:b w:val="false"/>
          <w:i w:val="false"/>
          <w:color w:val="000000"/>
          <w:sz w:val="28"/>
        </w:rPr>
        <w:t>
      пункт 8 изложить в следующей редакции:</w:t>
      </w:r>
    </w:p>
    <w:bookmarkEnd w:id="32"/>
    <w:bookmarkStart w:name="z72" w:id="33"/>
    <w:p>
      <w:pPr>
        <w:spacing w:after="0"/>
        <w:ind w:left="0"/>
        <w:jc w:val="both"/>
      </w:pPr>
      <w:r>
        <w:rPr>
          <w:rFonts w:ascii="Times New Roman"/>
          <w:b w:val="false"/>
          <w:i w:val="false"/>
          <w:color w:val="000000"/>
          <w:sz w:val="28"/>
        </w:rPr>
        <w:t>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2182"/>
        <w:gridCol w:w="9537"/>
      </w:tblGrid>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 при обращении услугополучателя (правообладателя) или его представителя</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4"/>
          <w:p>
            <w:pPr>
              <w:spacing w:after="20"/>
              <w:ind w:left="20"/>
              <w:jc w:val="both"/>
            </w:pPr>
            <w:r>
              <w:rPr>
                <w:rFonts w:ascii="Times New Roman"/>
                <w:b w:val="false"/>
                <w:i w:val="false"/>
                <w:color w:val="000000"/>
                <w:sz w:val="20"/>
              </w:rPr>
              <w:t>
1) Заявление о государственной регистрации прав (обременений) на недвижимое имущество по форме, согласно приложениям 1и (или) 2к настоящим Правилам.</w:t>
            </w:r>
            <w:r>
              <w:br/>
            </w:r>
            <w:r>
              <w:rPr>
                <w:rFonts w:ascii="Times New Roman"/>
                <w:b w:val="false"/>
                <w:i w:val="false"/>
                <w:color w:val="000000"/>
                <w:sz w:val="20"/>
              </w:rPr>
              <w:t>
</w:t>
            </w:r>
            <w:r>
              <w:rPr>
                <w:rFonts w:ascii="Times New Roman"/>
                <w:b w:val="false"/>
                <w:i w:val="false"/>
                <w:color w:val="000000"/>
                <w:sz w:val="20"/>
              </w:rPr>
              <w:t>При государственной регистрации возникновения, изменения или прекращения права общей совместной собственности заявление о регистрации может быть подано всеми участниками либо одним из них с представлением согласия остальных участников, удостоверенного в нотариальном порядке.</w:t>
            </w:r>
            <w:r>
              <w:br/>
            </w:r>
            <w:r>
              <w:rPr>
                <w:rFonts w:ascii="Times New Roman"/>
                <w:b w:val="false"/>
                <w:i w:val="false"/>
                <w:color w:val="000000"/>
                <w:sz w:val="20"/>
              </w:rPr>
              <w:t>
</w:t>
            </w:r>
            <w:r>
              <w:rPr>
                <w:rFonts w:ascii="Times New Roman"/>
                <w:b w:val="false"/>
                <w:i w:val="false"/>
                <w:color w:val="000000"/>
                <w:sz w:val="20"/>
              </w:rPr>
              <w:t>При государственной регистрации возникновения, изменения, прекращения права общей долевой собственности (иного общего права) заявление о государственной регистрации подается всеми участниками (уполномоченными представителями).</w:t>
            </w:r>
            <w:r>
              <w:br/>
            </w:r>
            <w:r>
              <w:rPr>
                <w:rFonts w:ascii="Times New Roman"/>
                <w:b w:val="false"/>
                <w:i w:val="false"/>
                <w:color w:val="000000"/>
                <w:sz w:val="20"/>
              </w:rPr>
              <w:t>
</w:t>
            </w:r>
            <w:r>
              <w:rPr>
                <w:rFonts w:ascii="Times New Roman"/>
                <w:b w:val="false"/>
                <w:i w:val="false"/>
                <w:color w:val="000000"/>
                <w:sz w:val="20"/>
              </w:rPr>
              <w:t>2) Правоустанавливающий документ, подтверждающий объект регистрации.</w:t>
            </w:r>
            <w:r>
              <w:br/>
            </w:r>
            <w:r>
              <w:rPr>
                <w:rFonts w:ascii="Times New Roman"/>
                <w:b w:val="false"/>
                <w:i w:val="false"/>
                <w:color w:val="000000"/>
                <w:sz w:val="20"/>
              </w:rPr>
              <w:t>
</w:t>
            </w:r>
            <w:r>
              <w:rPr>
                <w:rFonts w:ascii="Times New Roman"/>
                <w:b w:val="false"/>
                <w:i w:val="false"/>
                <w:color w:val="000000"/>
                <w:sz w:val="20"/>
              </w:rPr>
              <w:t>В случае регистрации права (обременения) на земельный участок представляется идентификационный документ на земельный участок.</w:t>
            </w:r>
            <w:r>
              <w:br/>
            </w:r>
            <w:r>
              <w:rPr>
                <w:rFonts w:ascii="Times New Roman"/>
                <w:b w:val="false"/>
                <w:i w:val="false"/>
                <w:color w:val="000000"/>
                <w:sz w:val="20"/>
              </w:rPr>
              <w:t>
</w:t>
            </w:r>
            <w:r>
              <w:rPr>
                <w:rFonts w:ascii="Times New Roman"/>
                <w:b w:val="false"/>
                <w:i w:val="false"/>
                <w:color w:val="000000"/>
                <w:sz w:val="20"/>
              </w:rPr>
              <w:t>При уступке прав (требований) по договорам залога недвижимого имущества представляется договор об уступке прав (требований) (договор об одновременной передаче активов и обязательств);</w:t>
            </w:r>
            <w:r>
              <w:br/>
            </w:r>
            <w:r>
              <w:rPr>
                <w:rFonts w:ascii="Times New Roman"/>
                <w:b w:val="false"/>
                <w:i w:val="false"/>
                <w:color w:val="000000"/>
                <w:sz w:val="20"/>
              </w:rPr>
              <w:t>
</w:t>
            </w:r>
            <w:r>
              <w:rPr>
                <w:rFonts w:ascii="Times New Roman"/>
                <w:b w:val="false"/>
                <w:i w:val="false"/>
                <w:color w:val="000000"/>
                <w:sz w:val="20"/>
              </w:rPr>
              <w:t>3) Документ, подтверждающий оплату за государственную регистрацию прав на недвижимое имущество.</w:t>
            </w:r>
            <w:r>
              <w:br/>
            </w:r>
            <w:r>
              <w:rPr>
                <w:rFonts w:ascii="Times New Roman"/>
                <w:b w:val="false"/>
                <w:i w:val="false"/>
                <w:color w:val="000000"/>
                <w:sz w:val="20"/>
              </w:rPr>
              <w:t>
</w:t>
            </w:r>
            <w:r>
              <w:rPr>
                <w:rFonts w:ascii="Times New Roman"/>
                <w:b w:val="false"/>
                <w:i w:val="false"/>
                <w:color w:val="000000"/>
                <w:sz w:val="20"/>
              </w:rPr>
              <w:t>В тех случаях, когда права (обременения) возникают на основании договора или иной сделки при отсутствии их нотариального удостоверения, заявление в установленном порядке подается всеми участниками сделки.</w:t>
            </w:r>
            <w:r>
              <w:br/>
            </w:r>
            <w:r>
              <w:rPr>
                <w:rFonts w:ascii="Times New Roman"/>
                <w:b w:val="false"/>
                <w:i w:val="false"/>
                <w:color w:val="000000"/>
                <w:sz w:val="20"/>
              </w:rPr>
              <w:t>
</w:t>
            </w:r>
            <w:r>
              <w:rPr>
                <w:rFonts w:ascii="Times New Roman"/>
                <w:b w:val="false"/>
                <w:i w:val="false"/>
                <w:color w:val="000000"/>
                <w:sz w:val="20"/>
              </w:rPr>
              <w:t>Заявление на регистрацию возникновения и изменения залога, предоставленного в обеспечение договора банковского займа, подается залогодателем и (или) залогодержателем. В случае подачи заявления залогодержателем требуется нотариально удостоверенное согласие залогодателя на такую регистрацию.</w:t>
            </w:r>
            <w:r>
              <w:br/>
            </w:r>
            <w:r>
              <w:rPr>
                <w:rFonts w:ascii="Times New Roman"/>
                <w:b w:val="false"/>
                <w:i w:val="false"/>
                <w:color w:val="000000"/>
                <w:sz w:val="20"/>
              </w:rPr>
              <w:t>
</w:t>
            </w:r>
            <w:r>
              <w:rPr>
                <w:rFonts w:ascii="Times New Roman"/>
                <w:b w:val="false"/>
                <w:i w:val="false"/>
                <w:color w:val="000000"/>
                <w:sz w:val="20"/>
              </w:rPr>
              <w:t>Электронная регистрация залога, предоставленного в обеспечение договора банковского займа, заключаемого банками второго уровня может быть проведена в следующем порядке:</w:t>
            </w:r>
            <w:r>
              <w:br/>
            </w:r>
            <w:r>
              <w:rPr>
                <w:rFonts w:ascii="Times New Roman"/>
                <w:b w:val="false"/>
                <w:i w:val="false"/>
                <w:color w:val="000000"/>
                <w:sz w:val="20"/>
              </w:rPr>
              <w:t>
</w:t>
            </w:r>
            <w:r>
              <w:rPr>
                <w:rFonts w:ascii="Times New Roman"/>
                <w:b w:val="false"/>
                <w:i w:val="false"/>
                <w:color w:val="000000"/>
                <w:sz w:val="20"/>
              </w:rPr>
              <w:t>банк второго уровня после заключения договора залога недвижимого имущества:</w:t>
            </w:r>
            <w:r>
              <w:br/>
            </w:r>
            <w:r>
              <w:rPr>
                <w:rFonts w:ascii="Times New Roman"/>
                <w:b w:val="false"/>
                <w:i w:val="false"/>
                <w:color w:val="000000"/>
                <w:sz w:val="20"/>
              </w:rPr>
              <w:t>
</w:t>
            </w:r>
            <w:r>
              <w:rPr>
                <w:rFonts w:ascii="Times New Roman"/>
                <w:b w:val="false"/>
                <w:i w:val="false"/>
                <w:color w:val="000000"/>
                <w:sz w:val="20"/>
              </w:rPr>
              <w:t>направляет электронную копию договора залога недвижимого имущества удостоверенную электронной цифровой подписью участников сделки, посредством информационной системы банка второго уровня через внешний шлюз "электронного правительства" в информационную систему правового кадастра;</w:t>
            </w:r>
            <w:r>
              <w:br/>
            </w:r>
            <w:r>
              <w:rPr>
                <w:rFonts w:ascii="Times New Roman"/>
                <w:b w:val="false"/>
                <w:i w:val="false"/>
                <w:color w:val="000000"/>
                <w:sz w:val="20"/>
              </w:rPr>
              <w:t>
</w:t>
            </w:r>
            <w:r>
              <w:rPr>
                <w:rFonts w:ascii="Times New Roman"/>
                <w:b w:val="false"/>
                <w:i w:val="false"/>
                <w:color w:val="000000"/>
                <w:sz w:val="20"/>
              </w:rPr>
              <w:t>информирует заявителя (уполномоченного представителя заявителя) об уникальном номере договора залога недвижимого имущества, присвоенном информационной системой банка второго уровня;</w:t>
            </w:r>
            <w:r>
              <w:br/>
            </w:r>
            <w:r>
              <w:rPr>
                <w:rFonts w:ascii="Times New Roman"/>
                <w:b w:val="false"/>
                <w:i w:val="false"/>
                <w:color w:val="000000"/>
                <w:sz w:val="20"/>
              </w:rPr>
              <w:t>
</w:t>
            </w:r>
            <w:r>
              <w:rPr>
                <w:rFonts w:ascii="Times New Roman"/>
                <w:b w:val="false"/>
                <w:i w:val="false"/>
                <w:color w:val="000000"/>
                <w:sz w:val="20"/>
              </w:rPr>
              <w:t>заявитель (уполномоченный представитель заявителя) производит оплату за государственную регистрацию через ПШЭП в соответствии с законодательством Республики Казахстан об информатизации, с обязательным указанием данных плательщика оплаты за государственную регистрацию залога и уникального номера договора залога недвижимого имущества.</w:t>
            </w:r>
            <w:r>
              <w:br/>
            </w:r>
            <w:r>
              <w:rPr>
                <w:rFonts w:ascii="Times New Roman"/>
                <w:b w:val="false"/>
                <w:i w:val="false"/>
                <w:color w:val="000000"/>
                <w:sz w:val="20"/>
              </w:rPr>
              <w:t>
</w:t>
            </w:r>
            <w:r>
              <w:rPr>
                <w:rFonts w:ascii="Times New Roman"/>
                <w:b w:val="false"/>
                <w:i w:val="false"/>
                <w:color w:val="000000"/>
                <w:sz w:val="20"/>
              </w:rPr>
              <w:t>После произведенной оплаты за государственную регистрацию залога недвижимого имущества реквизиты чека (уникальный код платежа, наименование получателя платежа, наименование банка второго уровня или организации, осуществляющей отдельные виды банковских операций, данные плательщика платежа, в том числе его идентификационный номер, сумма оплаты, даты и время оплаты, уникальный номер договора залога недвижимого имущества) сохраняются на ПШЭП в виде электронного чека и направляются в информационную систему правового кадастра;</w:t>
            </w:r>
            <w:r>
              <w:br/>
            </w:r>
            <w:r>
              <w:rPr>
                <w:rFonts w:ascii="Times New Roman"/>
                <w:b w:val="false"/>
                <w:i w:val="false"/>
                <w:color w:val="000000"/>
                <w:sz w:val="20"/>
              </w:rPr>
              <w:t>
</w:t>
            </w:r>
            <w:r>
              <w:rPr>
                <w:rFonts w:ascii="Times New Roman"/>
                <w:b w:val="false"/>
                <w:i w:val="false"/>
                <w:color w:val="000000"/>
                <w:sz w:val="20"/>
              </w:rPr>
              <w:t>Регистрирующий орган:</w:t>
            </w:r>
            <w:r>
              <w:br/>
            </w:r>
            <w:r>
              <w:rPr>
                <w:rFonts w:ascii="Times New Roman"/>
                <w:b w:val="false"/>
                <w:i w:val="false"/>
                <w:color w:val="000000"/>
                <w:sz w:val="20"/>
              </w:rPr>
              <w:t>
</w:t>
            </w:r>
            <w:r>
              <w:rPr>
                <w:rFonts w:ascii="Times New Roman"/>
                <w:b w:val="false"/>
                <w:i w:val="false"/>
                <w:color w:val="000000"/>
                <w:sz w:val="20"/>
              </w:rPr>
              <w:t xml:space="preserve">проверяет в информационной системе правового кадастра, а при необходимости на ПШЭП наличие электронного чека, подтверждающего оплату за государственную регистрацию залога недвижимого имущества, полноту оплаты и соответствие уникального номера договора залога недвижимого имущества, указанного на электронном чеке и на электронной копии договора залога недвижимого имущества; </w:t>
            </w:r>
            <w:r>
              <w:br/>
            </w:r>
            <w:r>
              <w:rPr>
                <w:rFonts w:ascii="Times New Roman"/>
                <w:b w:val="false"/>
                <w:i w:val="false"/>
                <w:color w:val="000000"/>
                <w:sz w:val="20"/>
              </w:rPr>
              <w:t>
</w:t>
            </w:r>
            <w:r>
              <w:rPr>
                <w:rFonts w:ascii="Times New Roman"/>
                <w:b w:val="false"/>
                <w:i w:val="false"/>
                <w:color w:val="000000"/>
                <w:sz w:val="20"/>
              </w:rPr>
              <w:t>при условии подтверждения в информационной системе правового кадастра оплаты за государственную регистрацию залога недвижимого имущества проверяет документы, поступившие на государственную регистрацию, включая проверку законности совершаемой сделки и (или) иных юридических фактов (юридических составов), являющихся основаниями возникновения, изменения, прекращения прав (обременении прав) на недвижимое имущество или иных объектов государственной регистрации на соответствие действующему законодательству;</w:t>
            </w:r>
            <w:r>
              <w:br/>
            </w:r>
            <w:r>
              <w:rPr>
                <w:rFonts w:ascii="Times New Roman"/>
                <w:b w:val="false"/>
                <w:i w:val="false"/>
                <w:color w:val="000000"/>
                <w:sz w:val="20"/>
              </w:rPr>
              <w:t>
</w:t>
            </w:r>
            <w:r>
              <w:rPr>
                <w:rFonts w:ascii="Times New Roman"/>
                <w:b w:val="false"/>
                <w:i w:val="false"/>
                <w:color w:val="000000"/>
                <w:sz w:val="20"/>
              </w:rPr>
              <w:t>сведения о технических и идентификационных характеристиках объекта недвижимости, необходимые для государственной регистрации прав на недвижимое имущество, регистрирующий орган получает из соответствующей государственной информационной системы;</w:t>
            </w:r>
            <w:r>
              <w:br/>
            </w:r>
            <w:r>
              <w:rPr>
                <w:rFonts w:ascii="Times New Roman"/>
                <w:b w:val="false"/>
                <w:i w:val="false"/>
                <w:color w:val="000000"/>
                <w:sz w:val="20"/>
              </w:rPr>
              <w:t>
</w:t>
            </w:r>
            <w:r>
              <w:rPr>
                <w:rFonts w:ascii="Times New Roman"/>
                <w:b w:val="false"/>
                <w:i w:val="false"/>
                <w:color w:val="000000"/>
                <w:sz w:val="20"/>
              </w:rPr>
              <w:t>вносит запись в регистрационный лист о произведенной регистрации либо отказ или приостановление государственной регистрации.</w:t>
            </w:r>
            <w:r>
              <w:br/>
            </w:r>
            <w:r>
              <w:rPr>
                <w:rFonts w:ascii="Times New Roman"/>
                <w:b w:val="false"/>
                <w:i w:val="false"/>
                <w:color w:val="000000"/>
                <w:sz w:val="20"/>
              </w:rPr>
              <w:t>
</w:t>
            </w:r>
            <w:r>
              <w:rPr>
                <w:rFonts w:ascii="Times New Roman"/>
                <w:b w:val="false"/>
                <w:i w:val="false"/>
                <w:color w:val="000000"/>
                <w:sz w:val="20"/>
              </w:rPr>
              <w:t>направляет уведомление о произведенной регистрации либо об отказе, или приостановлении государственной регистрации с указанием оснований предусмотренных законодательством, в информационную систему банка второго уровня;</w:t>
            </w:r>
            <w:r>
              <w:br/>
            </w:r>
            <w:r>
              <w:rPr>
                <w:rFonts w:ascii="Times New Roman"/>
                <w:b w:val="false"/>
                <w:i w:val="false"/>
                <w:color w:val="000000"/>
                <w:sz w:val="20"/>
              </w:rPr>
              <w:t>
</w:t>
            </w:r>
            <w:r>
              <w:rPr>
                <w:rFonts w:ascii="Times New Roman"/>
                <w:b w:val="false"/>
                <w:i w:val="false"/>
                <w:color w:val="000000"/>
                <w:sz w:val="20"/>
              </w:rPr>
              <w:t>распечатывает на бумажном носителе договор залога недвижимого имущества, уведомление о произведенной регистрации либо об отказе, или приостановлении государственной регистрации и электронный чек, подтверждающий оплату за государственную регистрацию залога недвижимого имущества, для хранения в регистрационном деле.</w:t>
            </w:r>
            <w:r>
              <w:br/>
            </w:r>
            <w:r>
              <w:rPr>
                <w:rFonts w:ascii="Times New Roman"/>
                <w:b w:val="false"/>
                <w:i w:val="false"/>
                <w:color w:val="000000"/>
                <w:sz w:val="20"/>
              </w:rPr>
              <w:t>
</w:t>
            </w:r>
            <w:r>
              <w:rPr>
                <w:rFonts w:ascii="Times New Roman"/>
                <w:b w:val="false"/>
                <w:i w:val="false"/>
                <w:color w:val="000000"/>
                <w:sz w:val="20"/>
              </w:rPr>
              <w:t>При уступке прав (требований) по договорам залога недвижимого имущества заявление на регистрацию возникновения и изменения залога подается залогодержателем, которому уступлены права (требования), без согласия залогодателя на такую регистрацию.</w:t>
            </w:r>
            <w:r>
              <w:br/>
            </w:r>
            <w:r>
              <w:rPr>
                <w:rFonts w:ascii="Times New Roman"/>
                <w:b w:val="false"/>
                <w:i w:val="false"/>
                <w:color w:val="000000"/>
                <w:sz w:val="20"/>
              </w:rPr>
              <w:t>
</w:t>
            </w:r>
            <w:r>
              <w:rPr>
                <w:rFonts w:ascii="Times New Roman"/>
                <w:b w:val="false"/>
                <w:i w:val="false"/>
                <w:color w:val="000000"/>
                <w:sz w:val="20"/>
              </w:rPr>
              <w:t>При наличии брачного договора, данный договор представляется в двух экземплярах, один из которых является подлинником или нотариально удостоверенной копией.</w:t>
            </w:r>
            <w:r>
              <w:br/>
            </w:r>
            <w:r>
              <w:rPr>
                <w:rFonts w:ascii="Times New Roman"/>
                <w:b w:val="false"/>
                <w:i w:val="false"/>
                <w:color w:val="000000"/>
                <w:sz w:val="20"/>
              </w:rPr>
              <w:t>
</w:t>
            </w:r>
            <w:r>
              <w:rPr>
                <w:rFonts w:ascii="Times New Roman"/>
                <w:b w:val="false"/>
                <w:i w:val="false"/>
                <w:color w:val="000000"/>
                <w:sz w:val="20"/>
              </w:rPr>
              <w:t>Для регистрации прав другого супруга, данные о котором не содержатся в правоустанавливающем документе, заявитель, достигший брачного возраста в соответствии с </w:t>
            </w:r>
            <w:r>
              <w:rPr>
                <w:rFonts w:ascii="Times New Roman"/>
                <w:b w:val="false"/>
                <w:i w:val="false"/>
                <w:color w:val="000000"/>
                <w:sz w:val="20"/>
              </w:rPr>
              <w:t>Кодексом</w:t>
            </w:r>
            <w:r>
              <w:rPr>
                <w:rFonts w:ascii="Times New Roman"/>
                <w:b w:val="false"/>
                <w:i w:val="false"/>
                <w:color w:val="000000"/>
                <w:sz w:val="20"/>
              </w:rPr>
              <w:t> Республики Казахстан "О браке (супружестве) и семье", в заявлении на регистрацию указывает сведения об отсутствии факта состояния в брачных отношениях либо сведения о своем супруге с приложением копии документа, подтверждающего наличие брачных отношений.</w:t>
            </w:r>
            <w:r>
              <w:br/>
            </w:r>
            <w:r>
              <w:rPr>
                <w:rFonts w:ascii="Times New Roman"/>
                <w:b w:val="false"/>
                <w:i w:val="false"/>
                <w:color w:val="000000"/>
                <w:sz w:val="20"/>
              </w:rPr>
              <w:t>
</w:t>
            </w:r>
            <w:r>
              <w:rPr>
                <w:rFonts w:ascii="Times New Roman"/>
                <w:b w:val="false"/>
                <w:i w:val="false"/>
                <w:color w:val="000000"/>
                <w:sz w:val="20"/>
              </w:rPr>
              <w:t>При изменении фамилии, имени, отчества, даты рождения физического лица или наименования юридического лица заявление о регистрации изменений подается правообладателем, к которому относятся такие изменения.</w:t>
            </w:r>
            <w:r>
              <w:br/>
            </w:r>
            <w:r>
              <w:rPr>
                <w:rFonts w:ascii="Times New Roman"/>
                <w:b w:val="false"/>
                <w:i w:val="false"/>
                <w:color w:val="000000"/>
                <w:sz w:val="20"/>
              </w:rPr>
              <w:t>
</w:t>
            </w:r>
            <w:r>
              <w:rPr>
                <w:rFonts w:ascii="Times New Roman"/>
                <w:b w:val="false"/>
                <w:i w:val="false"/>
                <w:color w:val="000000"/>
                <w:sz w:val="20"/>
              </w:rPr>
              <w:t>При этом юридические лица представляют, также:</w:t>
            </w:r>
            <w:r>
              <w:br/>
            </w:r>
            <w:r>
              <w:rPr>
                <w:rFonts w:ascii="Times New Roman"/>
                <w:b w:val="false"/>
                <w:i w:val="false"/>
                <w:color w:val="000000"/>
                <w:sz w:val="20"/>
              </w:rPr>
              <w:t>
</w:t>
            </w:r>
            <w:r>
              <w:rPr>
                <w:rFonts w:ascii="Times New Roman"/>
                <w:b w:val="false"/>
                <w:i w:val="false"/>
                <w:color w:val="000000"/>
                <w:sz w:val="20"/>
              </w:rPr>
              <w:t>учредительные документы;</w:t>
            </w:r>
            <w:r>
              <w:br/>
            </w:r>
            <w:r>
              <w:rPr>
                <w:rFonts w:ascii="Times New Roman"/>
                <w:b w:val="false"/>
                <w:i w:val="false"/>
                <w:color w:val="000000"/>
                <w:sz w:val="20"/>
              </w:rPr>
              <w:t>
</w:t>
            </w:r>
            <w:r>
              <w:rPr>
                <w:rFonts w:ascii="Times New Roman"/>
                <w:b w:val="false"/>
                <w:i w:val="false"/>
                <w:color w:val="000000"/>
                <w:sz w:val="20"/>
              </w:rPr>
              <w:t xml:space="preserve">протоколы собраний (выписки из них) учредителей (участников, совета директоров, совета акционеров) на приобретение или отчуждение объектов недвижимости, в случаях, предусмотренных Законами </w:t>
            </w:r>
            <w:r>
              <w:rPr>
                <w:rFonts w:ascii="Times New Roman"/>
                <w:b w:val="false"/>
                <w:i w:val="false"/>
                <w:color w:val="000000"/>
                <w:sz w:val="20"/>
              </w:rPr>
              <w:t>"Об акционерных обществах"</w:t>
            </w:r>
            <w:r>
              <w:rPr>
                <w:rFonts w:ascii="Times New Roman"/>
                <w:b w:val="false"/>
                <w:i w:val="false"/>
                <w:color w:val="000000"/>
                <w:sz w:val="20"/>
              </w:rPr>
              <w:t xml:space="preserve"> и </w:t>
            </w:r>
            <w:r>
              <w:rPr>
                <w:rFonts w:ascii="Times New Roman"/>
                <w:b w:val="false"/>
                <w:i w:val="false"/>
                <w:color w:val="000000"/>
                <w:sz w:val="20"/>
              </w:rPr>
              <w:t>"О государственном имуществе"</w:t>
            </w:r>
            <w:r>
              <w:rPr>
                <w:rFonts w:ascii="Times New Roman"/>
                <w:b w:val="false"/>
                <w:i w:val="false"/>
                <w:color w:val="000000"/>
                <w:sz w:val="20"/>
              </w:rPr>
              <w:t xml:space="preserve"> или учредительными документами.</w:t>
            </w:r>
            <w:r>
              <w:br/>
            </w:r>
            <w:r>
              <w:rPr>
                <w:rFonts w:ascii="Times New Roman"/>
                <w:b w:val="false"/>
                <w:i w:val="false"/>
                <w:color w:val="000000"/>
                <w:sz w:val="20"/>
              </w:rPr>
              <w:t>
</w:t>
            </w:r>
            <w:r>
              <w:rPr>
                <w:rFonts w:ascii="Times New Roman"/>
                <w:b w:val="false"/>
                <w:i w:val="false"/>
                <w:color w:val="000000"/>
                <w:sz w:val="20"/>
              </w:rPr>
              <w:t>Иностранные юридические лица представляют легализованную выписку из торгового реестра или другой легализованный документ, удостоверяющий, что иностранное юридическое лицо является юридическим лицом по законодательству иностранного государства, с нотариально засвидетельствованным переводом на государственный и русский языки.</w:t>
            </w:r>
            <w:r>
              <w:br/>
            </w:r>
            <w:r>
              <w:rPr>
                <w:rFonts w:ascii="Times New Roman"/>
                <w:b w:val="false"/>
                <w:i w:val="false"/>
                <w:color w:val="000000"/>
                <w:sz w:val="20"/>
              </w:rPr>
              <w:t>
</w:t>
            </w:r>
            <w:r>
              <w:rPr>
                <w:rFonts w:ascii="Times New Roman"/>
                <w:b w:val="false"/>
                <w:i w:val="false"/>
                <w:color w:val="000000"/>
                <w:sz w:val="20"/>
              </w:rPr>
              <w:t>В случае если в заявлении на регистрацию содержатся сведения, что совокупная балансовая стоимость приобретаемых или продаваемых активов превышает размеры, установленные антимонопольным законодательством Республики Казахстан, то услугополучателем представляется предварительное письменное согласие антимонопольного органа.</w:t>
            </w:r>
            <w:r>
              <w:br/>
            </w:r>
            <w:r>
              <w:rPr>
                <w:rFonts w:ascii="Times New Roman"/>
                <w:b w:val="false"/>
                <w:i w:val="false"/>
                <w:color w:val="000000"/>
                <w:sz w:val="20"/>
              </w:rPr>
              <w:t>
</w:t>
            </w:r>
            <w:r>
              <w:rPr>
                <w:rFonts w:ascii="Times New Roman"/>
                <w:b w:val="false"/>
                <w:i w:val="false"/>
                <w:color w:val="000000"/>
                <w:sz w:val="20"/>
              </w:rPr>
              <w:t>Документы, подтверждающие возникновение, изменение и прекращение прав на недвижимое имущество, и иные объекты государственной регистрации, представляются в двух экземплярах, один из которых является подлинником или нотариально удостоверенной копией.</w:t>
            </w:r>
            <w:r>
              <w:br/>
            </w:r>
            <w:r>
              <w:rPr>
                <w:rFonts w:ascii="Times New Roman"/>
                <w:b w:val="false"/>
                <w:i w:val="false"/>
                <w:color w:val="000000"/>
                <w:sz w:val="20"/>
              </w:rPr>
              <w:t>
</w:t>
            </w:r>
            <w:r>
              <w:rPr>
                <w:rFonts w:ascii="Times New Roman"/>
                <w:b w:val="false"/>
                <w:i w:val="false"/>
                <w:color w:val="000000"/>
                <w:sz w:val="20"/>
              </w:rPr>
              <w:t>В тех случаях, когда правоустанавливающим документом является судебный акт и в иных случаях, когда правообладателю не выдается подлинник документа, для регистрации представляются две удостоверенные копии такого документа.</w:t>
            </w:r>
            <w:r>
              <w:br/>
            </w:r>
            <w:r>
              <w:rPr>
                <w:rFonts w:ascii="Times New Roman"/>
                <w:b w:val="false"/>
                <w:i w:val="false"/>
                <w:color w:val="000000"/>
                <w:sz w:val="20"/>
              </w:rPr>
              <w:t>
В случае подачи документов через ПЭП заявитель заполняет установленную форму электронной заявки, прикрепляет отсканированные документы согласно пункту 8 настоящих Стандартов производит оплату через платежный шлюз электронного правительства</w:t>
            </w:r>
          </w:p>
          <w:bookmarkEnd w:id="3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7" w:id="35"/>
    <w:p>
      <w:pPr>
        <w:spacing w:after="0"/>
        <w:ind w:left="0"/>
        <w:jc w:val="both"/>
      </w:pPr>
      <w:r>
        <w:rPr>
          <w:rFonts w:ascii="Times New Roman"/>
          <w:b w:val="false"/>
          <w:i w:val="false"/>
          <w:color w:val="000000"/>
          <w:sz w:val="28"/>
        </w:rPr>
        <w:t>
      2. Департаменту регистрационной службы и организации юридических услуг Министерства юстиции Республики Казахстан в установленном законодательством Республики Казахстан порядке обеспечить государственную регистрацию настоящего приказа.</w:t>
      </w:r>
    </w:p>
    <w:bookmarkEnd w:id="35"/>
    <w:bookmarkStart w:name="z108" w:id="3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 - министра юстиции Республики Казахстан.</w:t>
      </w:r>
    </w:p>
    <w:bookmarkEnd w:id="36"/>
    <w:bookmarkStart w:name="z109" w:id="3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3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юстиции</w:t>
            </w:r>
            <w:r>
              <w:br/>
            </w:r>
            <w:r>
              <w:rPr>
                <w:rFonts w:ascii="Times New Roman"/>
                <w:b w:val="false"/>
                <w:i/>
                <w:color w:val="000000"/>
                <w:sz w:val="20"/>
              </w:rPr>
              <w:t xml:space="preserve">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bookmarkStart w:name="z111" w:id="3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цифрового развития,</w:t>
      </w:r>
      <w:r>
        <w:br/>
      </w:r>
      <w:r>
        <w:rPr>
          <w:rFonts w:ascii="Times New Roman"/>
          <w:b w:val="false"/>
          <w:i w:val="false"/>
          <w:color w:val="000000"/>
          <w:sz w:val="28"/>
        </w:rPr>
        <w:t>инноваций и аэрокосмической промышленности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____________________</w:t>
      </w:r>
      <w:r>
        <w:br/>
      </w:r>
      <w:r>
        <w:rPr>
          <w:rFonts w:ascii="Times New Roman"/>
          <w:b w:val="false"/>
          <w:i w:val="false"/>
          <w:color w:val="000000"/>
          <w:sz w:val="28"/>
        </w:rPr>
        <w:t>"____" _____________ 2020 года</w:t>
      </w:r>
    </w:p>
    <w:bookmarkEnd w:id="38"/>
    <w:bookmarkStart w:name="z112" w:id="3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Национальный Банк</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____________________</w:t>
      </w:r>
      <w:r>
        <w:br/>
      </w:r>
      <w:r>
        <w:rPr>
          <w:rFonts w:ascii="Times New Roman"/>
          <w:b w:val="false"/>
          <w:i w:val="false"/>
          <w:color w:val="000000"/>
          <w:sz w:val="28"/>
        </w:rPr>
        <w:t>"____" _____________ 2020 года</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