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46b6ee" w14:textId="346b6e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Бестерекского сельского округа Урджарского района на 2020-2022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Урджарского районного маслихата Восточно-Казахстанской области от 10 января 2020 года № 48-546/VI. Зарегистрировано Департаментом юстиции Восточно-Казахстанской области 15 января 2020 года № 6535. Утратило силу - решением Урджарского районного маслихата Восточно-Казахстанской области от 29 декабря 2020 года № 57-760/VI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решением Урджарского районного маслихата Восточно-Казахстанской области от 29.12.2020 </w:t>
      </w:r>
      <w:r>
        <w:rPr>
          <w:rFonts w:ascii="Times New Roman"/>
          <w:b w:val="false"/>
          <w:i w:val="false"/>
          <w:color w:val="ff0000"/>
          <w:sz w:val="28"/>
        </w:rPr>
        <w:t>№ 57-760/VI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пунктами 2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статьи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Урджарского районного маслихата от 24 декабря 2019 года № 47-525/VI "О бюджете Урджарского района на 2020-2022 годы" (зарегистрировано в Реестре государственной регистрации нормативных правовых актов за номером 6485) Урджарский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Бестерекского сельского округа Урджарского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33 572,0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3 764,0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29 808,0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34 688,0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дефицит (профицит) бюджета – - 1 116,0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финансирование дефицита (использование профицита) бюджета – 1 116,0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1 116,0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Урджарского районного маслихата Восточно-Казахстанской области от 14.10.2020 </w:t>
      </w:r>
      <w:r>
        <w:rPr>
          <w:rFonts w:ascii="Times New Roman"/>
          <w:b w:val="false"/>
          <w:i w:val="false"/>
          <w:color w:val="000000"/>
          <w:sz w:val="28"/>
        </w:rPr>
        <w:t>№ 55-692/VI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 Шевкунов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 Урджарского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 Карашев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Урджарского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области"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10 января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48-546/VI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Бестерекского сельского округа Урджарского района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Урджарского районного маслихата Восточно-Казахстанской области от 14.10.2020 </w:t>
      </w:r>
      <w:r>
        <w:rPr>
          <w:rFonts w:ascii="Times New Roman"/>
          <w:b w:val="false"/>
          <w:i w:val="false"/>
          <w:color w:val="ff0000"/>
          <w:sz w:val="28"/>
        </w:rPr>
        <w:t>№ 55-692/VI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6"/>
        <w:gridCol w:w="1966"/>
        <w:gridCol w:w="1266"/>
        <w:gridCol w:w="2323"/>
        <w:gridCol w:w="547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4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Доходы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33 572,0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3 764,0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3 764,0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514,0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3 209,0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29 808,0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29 808,0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610"/>
        <w:gridCol w:w="1287"/>
        <w:gridCol w:w="1287"/>
        <w:gridCol w:w="5528"/>
        <w:gridCol w:w="264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Затраты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34 688,0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19 087,5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19 087,5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19 087,5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19 087,5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3 755,0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3 315,0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3 315,0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3 315,0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8 883,0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8 883,0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8 883,0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Освещение улиц в населенных пунктов 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2 580,0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2 580,0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2 580,0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2 580,0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-1 116,0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1 116,0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районного (города областного значения) бюджета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1 116,0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1 116,0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1 116,0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Урджарского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области"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10 января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48-546/VI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Бестерекского сельского округа Урджарского района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5"/>
        <w:gridCol w:w="1917"/>
        <w:gridCol w:w="1235"/>
        <w:gridCol w:w="2569"/>
        <w:gridCol w:w="5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36 353,0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4 847,0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4 379,0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3 859,0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31 506,0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31 506,0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4"/>
        <w:gridCol w:w="602"/>
        <w:gridCol w:w="1269"/>
        <w:gridCol w:w="1269"/>
        <w:gridCol w:w="5621"/>
        <w:gridCol w:w="26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36 353,0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19 167,0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19 167,0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19 167,0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19 167,0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3 359,0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2 776,0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2 776,0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2 776,0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10 347,0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10 347,0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10 347,0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2 738,0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2 738,0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2 738,0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2 738,0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 профицит) бюджета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Финансирование дефицита (использование профицита) бюджета 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районного (города областного значения) бюджета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Урджарского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области"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10 января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48-546/VI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Бестерекского сельского округа Урджарского района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5"/>
        <w:gridCol w:w="1917"/>
        <w:gridCol w:w="1235"/>
        <w:gridCol w:w="2569"/>
        <w:gridCol w:w="5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37 934,0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5 060,0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4 583,0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4 052,0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32 874,0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32 874,0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4"/>
        <w:gridCol w:w="602"/>
        <w:gridCol w:w="1269"/>
        <w:gridCol w:w="1269"/>
        <w:gridCol w:w="5621"/>
        <w:gridCol w:w="26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37 934,0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20 317,0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20 317,0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20 317,0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20 317,0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3 561,0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2 943,0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2 943,0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2 943,0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10 367,0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10 367,0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10 367,0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2 902,0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2 902,0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2 902,0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2 902,0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 профицит) бюджета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Финансирование дефицита (использование профицита) бюджета 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районного (города областного значения) бюджета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