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17e2" w14:textId="8271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5 мая 2020 года № 456 "Об утверждении форм реестра требований кредиторов, Правил и сроков его формирования временным администратором и временным управляющим"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июня 2021 года № 626. Зарегистрирован в Министерстве юстиции Республики Казахстан 8 июля 2021 года № 23365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5 мая 2020 года № 456 "Об утверждении форм реестра требований кредиторов, Правил и сроков его формирования временным администратором и временным управляющим" (зарегистрирован в Реестре государственной регистрации нормативных правовых актов под № 20592)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Закона Республики Казахстан "О реабилитации и банкротстве"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формирования временным администратором и временным управляющим реестра требований кредиторов,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формирования временным администратором и временным управляющим реестра требований кредиторов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Закона Республики Казахстан "О реабилитации и банкротстве" (далее – Закон) и определяют порядок и сроки формирования реестра требований кредиторов (далее – реестр) временным администратором и временным управляющим при реабилитационной процедуре и процедуре банкротства.";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351 Кодекса Республики Казахстан "О налогах и других обязательных платежах в бюджет" (Налоговый кодекс) удержание ИПН производится не позднее дня выплаты дохода, облагаемого у источника выплаты.";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При определении суммы требования по обязательству, обеспеченному залогом, учитывается задолженность по обязательству в части обеспеченной залогом, оформленным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регистрации залога движимого имущества"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 (зарегистрирован в Реестре государственной регистрации нормативных правовых актов под № 913).";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Формирование реестра реабилитируемого или ликвидируемого хлебоприемного предприятия осуществляется в соответствии с настоящими Правилами c учетом особенностей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зерне".";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за исключением абзацев четвертого и четырнадцатого пункта 1 настоящего приказа, которые вводятся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