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8b78" w14:textId="a728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рынка ценных бумаг</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24 сентября 2021 года № 95. Зарегистрировано в Министерстве юстиции Республики Казахстан 5 октября 2021 года № 24622.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постановления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подпунктом 8) пункта 2 </w:t>
      </w:r>
      <w:r>
        <w:rPr>
          <w:rFonts w:ascii="Times New Roman"/>
          <w:b w:val="false"/>
          <w:i w:val="false"/>
          <w:color w:val="000000"/>
          <w:sz w:val="28"/>
        </w:rPr>
        <w:t>статьи 3</w:t>
      </w:r>
      <w:r>
        <w:rPr>
          <w:rFonts w:ascii="Times New Roman"/>
          <w:b w:val="false"/>
          <w:i w:val="false"/>
          <w:color w:val="000000"/>
          <w:sz w:val="28"/>
        </w:rPr>
        <w:t xml:space="preserve">, пунктом 2 </w:t>
      </w:r>
      <w:r>
        <w:rPr>
          <w:rFonts w:ascii="Times New Roman"/>
          <w:b w:val="false"/>
          <w:i w:val="false"/>
          <w:color w:val="000000"/>
          <w:sz w:val="28"/>
        </w:rPr>
        <w:t>статьи 19</w:t>
      </w:r>
      <w:r>
        <w:rPr>
          <w:rFonts w:ascii="Times New Roman"/>
          <w:b w:val="false"/>
          <w:i w:val="false"/>
          <w:color w:val="000000"/>
          <w:sz w:val="28"/>
        </w:rPr>
        <w:t xml:space="preserve">, пунктом 3 </w:t>
      </w:r>
      <w:r>
        <w:rPr>
          <w:rFonts w:ascii="Times New Roman"/>
          <w:b w:val="false"/>
          <w:i w:val="false"/>
          <w:color w:val="000000"/>
          <w:sz w:val="28"/>
        </w:rPr>
        <w:t>статьи 20</w:t>
      </w:r>
      <w:r>
        <w:rPr>
          <w:rFonts w:ascii="Times New Roman"/>
          <w:b w:val="false"/>
          <w:i w:val="false"/>
          <w:color w:val="000000"/>
          <w:sz w:val="28"/>
        </w:rPr>
        <w:t xml:space="preserve">, пунктом 2 </w:t>
      </w:r>
      <w:r>
        <w:rPr>
          <w:rFonts w:ascii="Times New Roman"/>
          <w:b w:val="false"/>
          <w:i w:val="false"/>
          <w:color w:val="000000"/>
          <w:sz w:val="28"/>
        </w:rPr>
        <w:t>статьи 28</w:t>
      </w:r>
      <w:r>
        <w:rPr>
          <w:rFonts w:ascii="Times New Roman"/>
          <w:b w:val="false"/>
          <w:i w:val="false"/>
          <w:color w:val="000000"/>
          <w:sz w:val="28"/>
        </w:rPr>
        <w:t xml:space="preserve">, </w:t>
      </w:r>
      <w:r>
        <w:rPr>
          <w:rFonts w:ascii="Times New Roman"/>
          <w:b w:val="false"/>
          <w:i w:val="false"/>
          <w:color w:val="000000"/>
          <w:sz w:val="28"/>
        </w:rPr>
        <w:t>статьей 35</w:t>
      </w:r>
      <w:r>
        <w:rPr>
          <w:rFonts w:ascii="Times New Roman"/>
          <w:b w:val="false"/>
          <w:i w:val="false"/>
          <w:color w:val="000000"/>
          <w:sz w:val="28"/>
        </w:rPr>
        <w:t xml:space="preserve">, пунктом 1 статьи 36, пунктом 4 </w:t>
      </w:r>
      <w:r>
        <w:rPr>
          <w:rFonts w:ascii="Times New Roman"/>
          <w:b w:val="false"/>
          <w:i w:val="false"/>
          <w:color w:val="000000"/>
          <w:sz w:val="28"/>
        </w:rPr>
        <w:t>статьи 45</w:t>
      </w:r>
      <w:r>
        <w:rPr>
          <w:rFonts w:ascii="Times New Roman"/>
          <w:b w:val="false"/>
          <w:i w:val="false"/>
          <w:color w:val="000000"/>
          <w:sz w:val="28"/>
        </w:rPr>
        <w:t xml:space="preserve">, </w:t>
      </w:r>
      <w:r>
        <w:rPr>
          <w:rFonts w:ascii="Times New Roman"/>
          <w:b w:val="false"/>
          <w:i w:val="false"/>
          <w:color w:val="000000"/>
          <w:sz w:val="28"/>
        </w:rPr>
        <w:t>статьей 49-1</w:t>
      </w:r>
      <w:r>
        <w:rPr>
          <w:rFonts w:ascii="Times New Roman"/>
          <w:b w:val="false"/>
          <w:i w:val="false"/>
          <w:color w:val="000000"/>
          <w:sz w:val="28"/>
        </w:rPr>
        <w:t xml:space="preserve">, пунктом 1 </w:t>
      </w:r>
      <w:r>
        <w:rPr>
          <w:rFonts w:ascii="Times New Roman"/>
          <w:b w:val="false"/>
          <w:i w:val="false"/>
          <w:color w:val="000000"/>
          <w:sz w:val="28"/>
        </w:rPr>
        <w:t>статьи 63</w:t>
      </w:r>
      <w:r>
        <w:rPr>
          <w:rFonts w:ascii="Times New Roman"/>
          <w:b w:val="false"/>
          <w:i w:val="false"/>
          <w:color w:val="000000"/>
          <w:sz w:val="28"/>
        </w:rPr>
        <w:t xml:space="preserve">, пунктом 1 </w:t>
      </w:r>
      <w:r>
        <w:rPr>
          <w:rFonts w:ascii="Times New Roman"/>
          <w:b w:val="false"/>
          <w:i w:val="false"/>
          <w:color w:val="000000"/>
          <w:sz w:val="28"/>
        </w:rPr>
        <w:t>статьи 78</w:t>
      </w:r>
      <w:r>
        <w:rPr>
          <w:rFonts w:ascii="Times New Roman"/>
          <w:b w:val="false"/>
          <w:i w:val="false"/>
          <w:color w:val="000000"/>
          <w:sz w:val="28"/>
        </w:rPr>
        <w:t xml:space="preserve">, пунктами 5 и 10 </w:t>
      </w:r>
      <w:r>
        <w:rPr>
          <w:rFonts w:ascii="Times New Roman"/>
          <w:b w:val="false"/>
          <w:i w:val="false"/>
          <w:color w:val="000000"/>
          <w:sz w:val="28"/>
        </w:rPr>
        <w:t>статьи 80</w:t>
      </w:r>
      <w:r>
        <w:rPr>
          <w:rFonts w:ascii="Times New Roman"/>
          <w:b w:val="false"/>
          <w:i w:val="false"/>
          <w:color w:val="000000"/>
          <w:sz w:val="28"/>
        </w:rPr>
        <w:t xml:space="preserve"> Закона Республики Казахстан "О рынке ценных бумаг", </w:t>
      </w:r>
      <w:r>
        <w:rPr>
          <w:rFonts w:ascii="Times New Roman"/>
          <w:b w:val="false"/>
          <w:i w:val="false"/>
          <w:color w:val="000000"/>
          <w:sz w:val="28"/>
        </w:rPr>
        <w:t>пунктом 1</w:t>
      </w:r>
      <w:r>
        <w:rPr>
          <w:rFonts w:ascii="Times New Roman"/>
          <w:b w:val="false"/>
          <w:i w:val="false"/>
          <w:color w:val="000000"/>
          <w:sz w:val="28"/>
        </w:rPr>
        <w:t xml:space="preserve"> статьи 38 Закона Республики Казахстан "Об инвестиционных и венчурных фондах", подпунктом 17)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пенсионном обеспечении в Республике Казахстан",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рынка ценных бумаг (далее - Перечень), в которые вносятся изменения и дополнения,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рынка ценных бумаг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тридцать четвертого, тридцать пятого, тридцать шестого, тридцать седьмого, тридцать восьмого, тридцать девятого, сорокового, сорок первого, сорок второго, сорок третьего, сорок четвертого пункта 6, абзацев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тридцать четвертого, тридцать шестого, тридцать седьмого, тридцать восьмого, тридцать девятого, сорокового, сорок первого, шестьдесят третьего пункта 8 Перечня, которые вводятся в действие с 1 января 2022 года.</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w:t>
            </w:r>
          </w:p>
          <w:p>
            <w:pPr>
              <w:spacing w:after="0"/>
              <w:ind w:left="0"/>
              <w:jc w:val="left"/>
            </w:pPr>
          </w:p>
          <w:p>
            <w:pPr>
              <w:spacing w:after="20"/>
              <w:ind w:left="20"/>
              <w:jc w:val="both"/>
            </w:pPr>
            <w:r>
              <w:rPr>
                <w:rFonts w:ascii="Times New Roman"/>
                <w:b w:val="false"/>
                <w:i/>
                <w:color w:val="000000"/>
                <w:sz w:val="20"/>
              </w:rPr>
              <w:t>и развитию финансового рынка 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24 сентября 2021 года № 95</w:t>
            </w:r>
          </w:p>
        </w:tc>
      </w:tr>
    </w:tbl>
    <w:bookmarkStart w:name="z14" w:id="8"/>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рынка ценных бумаг,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21 августа 2004 года № 259 "Об установлении Правил, условий и методики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(зарегистрировано в Реестре государственной регистрации нормативных правовых актов под № 3124) следующие изменения:</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условиях и методике определения стоимости активов инвестиционного фонда, чистых активов инвестиционного фонда, расчетной стоимости пая паевого инвестиционного фонда и цены выкупа акции акционерного инвестиционного фонда, утвержденных указанным постановлением: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"7. Финансовый инструмент, составляющий активы инвестиционного фонда и входящий в список фондовой биржи, оценивается по рыночной или индикативной цене в соответствии с методикой оценки ценных бумаг фондовой биржи, в список которой он входит либо по данным информационно-аналитических систем Bloomberg (Блумберг) или Reuters (Рейтер).</w:t>
      </w:r>
    </w:p>
    <w:bookmarkEnd w:id="11"/>
    <w:bookmarkStart w:name="z19" w:id="12"/>
    <w:p>
      <w:pPr>
        <w:spacing w:after="0"/>
        <w:ind w:left="0"/>
        <w:jc w:val="both"/>
      </w:pPr>
      <w:r>
        <w:rPr>
          <w:rFonts w:ascii="Times New Roman"/>
          <w:b w:val="false"/>
          <w:i w:val="false"/>
          <w:color w:val="000000"/>
          <w:sz w:val="28"/>
        </w:rPr>
        <w:t>
      Финансовые инструменты, выпущенные в соответствии с законодательством иностранных государств, оцениваются на конец рабочего дня по цене закрытия торгового дня, за который производится оценка, по данным информационно-аналитических систем Bloomberg (Блумберг) или Reuters (Рейтер).</w:t>
      </w:r>
    </w:p>
    <w:bookmarkEnd w:id="12"/>
    <w:bookmarkStart w:name="z20" w:id="13"/>
    <w:p>
      <w:pPr>
        <w:spacing w:after="0"/>
        <w:ind w:left="0"/>
        <w:jc w:val="both"/>
      </w:pPr>
      <w:r>
        <w:rPr>
          <w:rFonts w:ascii="Times New Roman"/>
          <w:b w:val="false"/>
          <w:i w:val="false"/>
          <w:color w:val="000000"/>
          <w:sz w:val="28"/>
        </w:rPr>
        <w:t>
      Справедливая стоимость долговых ценных бумаг, оценка которых не предусмотрена методикой оценки ценных бумаг фондовой биржи и Правилами, определяется посредством учета по амортизированной стоимости еженедельно на конец первого рабочего дня текущей недели.";</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"7-6. Стоимость неликвидных акций определяется по балансовой стоимости. При этом акция признается неликвидной, если на дату переоценки активов инвестиционного фонда, данная ценная бумага не входила в список ценных бумаг первого класса ликвидности, определенный в соответствии с Методикой определения показателей ликвидности ценных бумаг фондовой биржи.</w:t>
      </w:r>
    </w:p>
    <w:bookmarkEnd w:id="14"/>
    <w:bookmarkStart w:name="z23" w:id="15"/>
    <w:p>
      <w:pPr>
        <w:spacing w:after="0"/>
        <w:ind w:left="0"/>
        <w:jc w:val="both"/>
      </w:pPr>
      <w:r>
        <w:rPr>
          <w:rFonts w:ascii="Times New Roman"/>
          <w:b w:val="false"/>
          <w:i w:val="false"/>
          <w:color w:val="000000"/>
          <w:sz w:val="28"/>
        </w:rPr>
        <w:t xml:space="preserve">
      Для целей Правил под балансовой стоимостью простых акций и балансовой стоимостью привилегированных акций понимается стоимость простых акций и стоимость привилегированных акций, соответственно, определяемые на основании финансовой отчетности эмитента, публикуемой в соответствии с требованиями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рынке ценных бумаг" 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27 августа 2018 года № 189 "Об утверждении Правил раскрытия эмитентом информации, Требований к содержанию информации, подлежащей раскрытию эмитентом, а также сроков раскрытия эмитентом информации на интернет-ресурсе депозитария финансовой отчетности", зарегистрированного в Реестре государственной регистрации нормативных правовых актов под № 17579.</w:t>
      </w:r>
    </w:p>
    <w:bookmarkEnd w:id="15"/>
    <w:bookmarkStart w:name="z24" w:id="16"/>
    <w:p>
      <w:pPr>
        <w:spacing w:after="0"/>
        <w:ind w:left="0"/>
        <w:jc w:val="both"/>
      </w:pPr>
      <w:r>
        <w:rPr>
          <w:rFonts w:ascii="Times New Roman"/>
          <w:b w:val="false"/>
          <w:i w:val="false"/>
          <w:color w:val="000000"/>
          <w:sz w:val="28"/>
        </w:rPr>
        <w:t>
      Паи, которые были исключены из списка фондовой биржи по причинам, не связанным с ухудшением финансового состояния эмитента, оцениваются по стоимости чистых активов.".</w:t>
      </w:r>
    </w:p>
    <w:bookmarkEnd w:id="16"/>
    <w:bookmarkStart w:name="z25" w:id="1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88 "Об утверждении Правил исполнения представителем держателей облигаций своих функций и обязанностей, досрочного прекращения его полномочий, а также требований к содержанию договора о представлении интересов держателей облигаций, заключаемого между эмитентом и представителем держателей облигаций, и сроков предоставления информации в уполномоченный орган по регулированию, контролю и надзору финансового рынка и финансовых организаций" (зарегистрировано в Реестре государственной регистрации нормативных правовых актов под № 7568) следующее изменение:</w:t>
      </w:r>
    </w:p>
    <w:bookmarkEnd w:id="17"/>
    <w:bookmarkStart w:name="z26"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исполнения представителем держателей облигаций своих функций и обязанностей, досрочного прекращения его полномочий, а также требованиях к содержанию договора о представлении интересов держателей облигаций, заключаемого между эмитентом и представителем держателей облигаций, и сроках предоставления информации в уполномоченный орган по регулированию, контролю и надзору финансового рынка и финансовых организаций, утвержденных указанным постановлением: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 </w:t>
      </w:r>
    </w:p>
    <w:bookmarkStart w:name="z28" w:id="19"/>
    <w:p>
      <w:pPr>
        <w:spacing w:after="0"/>
        <w:ind w:left="0"/>
        <w:jc w:val="both"/>
      </w:pPr>
      <w:r>
        <w:rPr>
          <w:rFonts w:ascii="Times New Roman"/>
          <w:b w:val="false"/>
          <w:i w:val="false"/>
          <w:color w:val="000000"/>
          <w:sz w:val="28"/>
        </w:rPr>
        <w:t xml:space="preserve">
      "1-1. Представитель информирует уполномоченный орган и держателей облигаций о своих действиях в соответствии с подпунктами 1), 1-1), 2), 3), 3-1) и 4) пункта 1 </w:t>
      </w:r>
      <w:r>
        <w:rPr>
          <w:rFonts w:ascii="Times New Roman"/>
          <w:b w:val="false"/>
          <w:i w:val="false"/>
          <w:color w:val="000000"/>
          <w:sz w:val="28"/>
        </w:rPr>
        <w:t>статьи 20</w:t>
      </w:r>
      <w:r>
        <w:rPr>
          <w:rFonts w:ascii="Times New Roman"/>
          <w:b w:val="false"/>
          <w:i w:val="false"/>
          <w:color w:val="000000"/>
          <w:sz w:val="28"/>
        </w:rPr>
        <w:t xml:space="preserve"> Закона и о результатах таких действий:</w:t>
      </w:r>
    </w:p>
    <w:bookmarkEnd w:id="19"/>
    <w:bookmarkStart w:name="z29" w:id="20"/>
    <w:p>
      <w:pPr>
        <w:spacing w:after="0"/>
        <w:ind w:left="0"/>
        <w:jc w:val="both"/>
      </w:pPr>
      <w:r>
        <w:rPr>
          <w:rFonts w:ascii="Times New Roman"/>
          <w:b w:val="false"/>
          <w:i w:val="false"/>
          <w:color w:val="000000"/>
          <w:sz w:val="28"/>
        </w:rPr>
        <w:t>
      1) ежеквартально, не позднее последнего календарного дня второго месяца, следующего за отчетным кварталом – в отношении эмитентов, чьи ценные бумаги не обращаются на площадке фондовой биржи, функционирующей на территории иностранного государства;</w:t>
      </w:r>
    </w:p>
    <w:bookmarkEnd w:id="20"/>
    <w:bookmarkStart w:name="z30" w:id="21"/>
    <w:p>
      <w:pPr>
        <w:spacing w:after="0"/>
        <w:ind w:left="0"/>
        <w:jc w:val="both"/>
      </w:pPr>
      <w:r>
        <w:rPr>
          <w:rFonts w:ascii="Times New Roman"/>
          <w:b w:val="false"/>
          <w:i w:val="false"/>
          <w:color w:val="000000"/>
          <w:sz w:val="28"/>
        </w:rPr>
        <w:t>
      2) не позднее последнего календарного дня месяца, следующего за месяцем, в котором представителем получена информация от эмитента, предусмотренная абзацем третьим подпункта 1) пункта 10 Правил – в отношении эмитентов, чьи ценные бумаги включены в список фондовой биржи, функционирующей на территории Республики Казахстан и обращаются на площадке фондовой биржи, функционирующей на территории иностранного государства.</w:t>
      </w:r>
    </w:p>
    <w:bookmarkEnd w:id="21"/>
    <w:bookmarkStart w:name="z31" w:id="22"/>
    <w:p>
      <w:pPr>
        <w:spacing w:after="0"/>
        <w:ind w:left="0"/>
        <w:jc w:val="both"/>
      </w:pPr>
      <w:r>
        <w:rPr>
          <w:rFonts w:ascii="Times New Roman"/>
          <w:b w:val="false"/>
          <w:i w:val="false"/>
          <w:color w:val="000000"/>
          <w:sz w:val="28"/>
        </w:rPr>
        <w:t>
      Информация об исполнении представителем своих функций и обязанностей, представляемая уполномоченному органу и держателям облигаций в отношении эмитента, чьи ценные бумаги не обращаются на фондовой бирже, содержит финансовую отчетность эмитента за отчетный квартал.</w:t>
      </w:r>
    </w:p>
    <w:bookmarkEnd w:id="22"/>
    <w:bookmarkStart w:name="z32" w:id="23"/>
    <w:p>
      <w:pPr>
        <w:spacing w:after="0"/>
        <w:ind w:left="0"/>
        <w:jc w:val="both"/>
      </w:pPr>
      <w:r>
        <w:rPr>
          <w:rFonts w:ascii="Times New Roman"/>
          <w:b w:val="false"/>
          <w:i w:val="false"/>
          <w:color w:val="000000"/>
          <w:sz w:val="28"/>
        </w:rPr>
        <w:t>
      Эмитент, имеющий дочернюю организацию, представляет представителю неконсолидированную финансовую отчетность в случае отсутствия консолидированной финансовой отчетности.</w:t>
      </w:r>
    </w:p>
    <w:bookmarkEnd w:id="23"/>
    <w:bookmarkStart w:name="z33" w:id="24"/>
    <w:p>
      <w:pPr>
        <w:spacing w:after="0"/>
        <w:ind w:left="0"/>
        <w:jc w:val="both"/>
      </w:pPr>
      <w:r>
        <w:rPr>
          <w:rFonts w:ascii="Times New Roman"/>
          <w:b w:val="false"/>
          <w:i w:val="false"/>
          <w:color w:val="000000"/>
          <w:sz w:val="28"/>
        </w:rPr>
        <w:t xml:space="preserve">
      Эмитент, являющийся банком второго уровня, представляет представителю отчет об остатках на балансовых и внебалансовых счетах банков второго уровня, составленный по форме согласно приложению 2 к </w:t>
      </w:r>
      <w:r>
        <w:rPr>
          <w:rFonts w:ascii="Times New Roman"/>
          <w:b w:val="false"/>
          <w:i w:val="false"/>
          <w:color w:val="000000"/>
          <w:sz w:val="28"/>
        </w:rPr>
        <w:t>постановлению</w:t>
      </w:r>
      <w:r>
        <w:rPr>
          <w:rFonts w:ascii="Times New Roman"/>
          <w:b w:val="false"/>
          <w:i w:val="false"/>
          <w:color w:val="000000"/>
          <w:sz w:val="28"/>
        </w:rPr>
        <w:t xml:space="preserve"> Правления Национального Банка Республики Казахстан от 21 апреля 2020 года № 54 "Об утверждении перечня, форм, сроков представления отчетности банками второго уровня и Правил ее представления", зарегистрированному в Реестре государственной регистрации нормативных правовых актов под № 20474.</w:t>
      </w:r>
    </w:p>
    <w:bookmarkEnd w:id="24"/>
    <w:bookmarkStart w:name="z34" w:id="25"/>
    <w:p>
      <w:pPr>
        <w:spacing w:after="0"/>
        <w:ind w:left="0"/>
        <w:jc w:val="both"/>
      </w:pPr>
      <w:r>
        <w:rPr>
          <w:rFonts w:ascii="Times New Roman"/>
          <w:b w:val="false"/>
          <w:i w:val="false"/>
          <w:color w:val="000000"/>
          <w:sz w:val="28"/>
        </w:rPr>
        <w:t>
      Эмитент, чьи ценные бумаги включены в список фондовой биржи, функционирующей на территории Республики Казахстан, и обращаются на площадке фондовой биржи, функционирующей на территории иностранного государства, представляет представителю финансовую отчетность за отчетный квартал (в случае наличия у данного эмитента дочерней организации – консолидированную финансовую отчетность) в сроки, установленные внутренними документами фондовой биржи, функционирующей на территории Республики Казахстан, в список которой включены ценные бумаги эмитента.".</w:t>
      </w:r>
    </w:p>
    <w:bookmarkEnd w:id="25"/>
    <w:bookmarkStart w:name="z35" w:id="2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(зарегистрировано в Реестре государственной регистрации нормативных правовых актов под № 8796) следующее изменение:</w:t>
      </w:r>
    </w:p>
    <w:bookmarkEnd w:id="26"/>
    <w:bookmarkStart w:name="z36"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утвержденных указанным постановлением: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Перечню нормативных правовых актов Республики Казахстан по вопросам регулирования рынка ценных бумаг, в которые вносятся изменения и дополнения.</w:t>
      </w:r>
    </w:p>
    <w:bookmarkStart w:name="z38" w:id="28"/>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03 февраля 2014 года № 9 "Об утверждении Правил осуществления брокерской и (или) дилерской деятельности на рынке ценных бумаг, порядка проведения брокером и (или) дилером банковских операций" (зарегистрировано в Реестре государственной регистрации нормативных правовых актов под № 9249) следующие изменения:</w:t>
      </w:r>
    </w:p>
    <w:bookmarkEnd w:id="28"/>
    <w:bookmarkStart w:name="z39"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брокерской и (или) дилерской деятельности на рынке ценных бумаг, порядке проведения брокером и (или) дилером банковских операций, утвержденных указанным постановлением: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41" w:id="30"/>
    <w:p>
      <w:pPr>
        <w:spacing w:after="0"/>
        <w:ind w:left="0"/>
        <w:jc w:val="both"/>
      </w:pPr>
      <w:r>
        <w:rPr>
          <w:rFonts w:ascii="Times New Roman"/>
          <w:b w:val="false"/>
          <w:i w:val="false"/>
          <w:color w:val="000000"/>
          <w:sz w:val="28"/>
        </w:rPr>
        <w:t>
      "40. Брокер и (или) дилер не принимает к исполнению клиентский заказ:</w:t>
      </w:r>
    </w:p>
    <w:bookmarkEnd w:id="30"/>
    <w:bookmarkStart w:name="z42" w:id="31"/>
    <w:p>
      <w:pPr>
        <w:spacing w:after="0"/>
        <w:ind w:left="0"/>
        <w:jc w:val="both"/>
      </w:pPr>
      <w:r>
        <w:rPr>
          <w:rFonts w:ascii="Times New Roman"/>
          <w:b w:val="false"/>
          <w:i w:val="false"/>
          <w:color w:val="000000"/>
          <w:sz w:val="28"/>
        </w:rPr>
        <w:t>
      1) при наличии противоречия содержания клиентского заказа законодательству Республики Казахстан о рынке ценных бумаг и брокерскому договору;</w:t>
      </w:r>
    </w:p>
    <w:bookmarkEnd w:id="31"/>
    <w:bookmarkStart w:name="z43" w:id="32"/>
    <w:p>
      <w:pPr>
        <w:spacing w:after="0"/>
        <w:ind w:left="0"/>
        <w:jc w:val="both"/>
      </w:pPr>
      <w:r>
        <w:rPr>
          <w:rFonts w:ascii="Times New Roman"/>
          <w:b w:val="false"/>
          <w:i w:val="false"/>
          <w:color w:val="000000"/>
          <w:sz w:val="28"/>
        </w:rPr>
        <w:t>
      2) если ценные бумаги, в отношении которых представлен клиентский заказ, обременены;</w:t>
      </w:r>
    </w:p>
    <w:bookmarkEnd w:id="32"/>
    <w:bookmarkStart w:name="z44" w:id="33"/>
    <w:p>
      <w:pPr>
        <w:spacing w:after="0"/>
        <w:ind w:left="0"/>
        <w:jc w:val="both"/>
      </w:pPr>
      <w:r>
        <w:rPr>
          <w:rFonts w:ascii="Times New Roman"/>
          <w:b w:val="false"/>
          <w:i w:val="false"/>
          <w:color w:val="000000"/>
          <w:sz w:val="28"/>
        </w:rPr>
        <w:t>
      3) при визуальном несоответствии образца подписи на клиентском заказе (на бумажном носителе) подписям, указанным в нотариально засвидетельствованном документе с образцами подписей (в том числе представителей юридического лица, обладающих правом подписывать клиентские заказы), или документе, удостоверяющем личность физического лица (в том числе его представителя), если клиентский заказ не был подписан клиентом в присутствии ответственного работника брокера и (или) дилера;</w:t>
      </w:r>
    </w:p>
    <w:bookmarkEnd w:id="33"/>
    <w:bookmarkStart w:name="z45" w:id="34"/>
    <w:p>
      <w:pPr>
        <w:spacing w:after="0"/>
        <w:ind w:left="0"/>
        <w:jc w:val="both"/>
      </w:pPr>
      <w:r>
        <w:rPr>
          <w:rFonts w:ascii="Times New Roman"/>
          <w:b w:val="false"/>
          <w:i w:val="false"/>
          <w:color w:val="000000"/>
          <w:sz w:val="28"/>
        </w:rPr>
        <w:t>
      4) в случае невозможности идентификации клиента в соответствии с Правилами, условиями и порядком, определенными брокерским договором и внутренними документами брокера и (или) дилера, при подаче клиентского заказа средствами телефонной связи;</w:t>
      </w:r>
    </w:p>
    <w:bookmarkEnd w:id="34"/>
    <w:bookmarkStart w:name="z46" w:id="35"/>
    <w:p>
      <w:pPr>
        <w:spacing w:after="0"/>
        <w:ind w:left="0"/>
        <w:jc w:val="both"/>
      </w:pPr>
      <w:r>
        <w:rPr>
          <w:rFonts w:ascii="Times New Roman"/>
          <w:b w:val="false"/>
          <w:i w:val="false"/>
          <w:color w:val="000000"/>
          <w:sz w:val="28"/>
        </w:rPr>
        <w:t>
      5) в случаях, предусмотренных брокерским договором и внутренними документами брокера и (или) дилера.</w:t>
      </w:r>
    </w:p>
    <w:bookmarkEnd w:id="35"/>
    <w:bookmarkStart w:name="z47" w:id="36"/>
    <w:p>
      <w:pPr>
        <w:spacing w:after="0"/>
        <w:ind w:left="0"/>
        <w:jc w:val="both"/>
      </w:pPr>
      <w:r>
        <w:rPr>
          <w:rFonts w:ascii="Times New Roman"/>
          <w:b w:val="false"/>
          <w:i w:val="false"/>
          <w:color w:val="000000"/>
          <w:sz w:val="28"/>
        </w:rPr>
        <w:t xml:space="preserve">
      Основание для отказа в принятии клиентского заказа брокером и (или) дилером, установленное подпунктом 3) настоящего пункта, не распространяется на клиентские заказы, поданные в форме электронного документа или иной электронно-цифровой форме, в том числе с использованием систем SWIFT (Свифт), Bloomberg (Блумберг), Reuters (Рейтер).";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49" w:id="37"/>
    <w:p>
      <w:pPr>
        <w:spacing w:after="0"/>
        <w:ind w:left="0"/>
        <w:jc w:val="both"/>
      </w:pPr>
      <w:r>
        <w:rPr>
          <w:rFonts w:ascii="Times New Roman"/>
          <w:b w:val="false"/>
          <w:i w:val="false"/>
          <w:color w:val="000000"/>
          <w:sz w:val="28"/>
        </w:rPr>
        <w:t>
      "69. Брокер и (или) дилер, заключая сделки на международных (иностранных) рынках, обеспечивает хранение документов об исполнении заключенной сделки. Если документы о заключении сделки сохраняются в системе внутреннего учета брокера в электронном виде, хранение документов на бумажном носителе не требуется.</w:t>
      </w:r>
    </w:p>
    <w:bookmarkEnd w:id="37"/>
    <w:bookmarkStart w:name="z50" w:id="38"/>
    <w:p>
      <w:pPr>
        <w:spacing w:after="0"/>
        <w:ind w:left="0"/>
        <w:jc w:val="both"/>
      </w:pPr>
      <w:r>
        <w:rPr>
          <w:rFonts w:ascii="Times New Roman"/>
          <w:b w:val="false"/>
          <w:i w:val="false"/>
          <w:color w:val="000000"/>
          <w:sz w:val="28"/>
        </w:rPr>
        <w:t>
      Если информация по историческим рыночным котировкам доступна в информационно-аналитических системах Bloomberg (Блумберг) или Reuters (Рейтер) хранение параметров рыночных котировок по приобретаемым и (или) реализуемым ценным бумагам на дату и время заключения сделки не требуется.".</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58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4" w:id="39"/>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октября 2014 года № 210 "Об утверждении Правил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(зарегистрировано в Реестре государственной регистрации нормативных правовых актов под № 9876) следующие изменения и дополнения:</w:t>
      </w:r>
    </w:p>
    <w:bookmarkEnd w:id="39"/>
    <w:bookmarkStart w:name="z55"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утвержденных указанным постановлением: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7" w:id="41"/>
    <w:p>
      <w:pPr>
        <w:spacing w:after="0"/>
        <w:ind w:left="0"/>
        <w:jc w:val="both"/>
      </w:pPr>
      <w:r>
        <w:rPr>
          <w:rFonts w:ascii="Times New Roman"/>
          <w:b w:val="false"/>
          <w:i w:val="false"/>
          <w:color w:val="000000"/>
          <w:sz w:val="28"/>
        </w:rPr>
        <w:t>
      "2. Номинальный держатель после заключения договора о номинальном держании с клиентом открывает клиенту в системе учета номинального держания лицевой счет и обращается в центральный депозитарий за присвоением уникального кода данному клиенту, а также открывает субсчет клиента в системе учета центрального депозитария и (или) иностранной расчетной организации, если это предусмотрено договором, заключенным между номинальным держателем и его клиентом.</w:t>
      </w:r>
    </w:p>
    <w:bookmarkEnd w:id="41"/>
    <w:bookmarkStart w:name="z58" w:id="42"/>
    <w:p>
      <w:pPr>
        <w:spacing w:after="0"/>
        <w:ind w:left="0"/>
        <w:jc w:val="both"/>
      </w:pPr>
      <w:r>
        <w:rPr>
          <w:rFonts w:ascii="Times New Roman"/>
          <w:b w:val="false"/>
          <w:i w:val="false"/>
          <w:color w:val="000000"/>
          <w:sz w:val="28"/>
        </w:rPr>
        <w:t>
      Открытие анонимных лицевых счетов и субсчетов, а также лицевых счетов и субсчетов на вымышленные имена не допускается, за исключением случаев, предусмотренных подпунктом 5) </w:t>
      </w:r>
      <w:r>
        <w:rPr>
          <w:rFonts w:ascii="Times New Roman"/>
          <w:b w:val="false"/>
          <w:i w:val="false"/>
          <w:color w:val="000000"/>
          <w:sz w:val="28"/>
        </w:rPr>
        <w:t>пункта 18</w:t>
      </w:r>
      <w:r>
        <w:rPr>
          <w:rFonts w:ascii="Times New Roman"/>
          <w:b w:val="false"/>
          <w:i w:val="false"/>
          <w:color w:val="000000"/>
          <w:sz w:val="28"/>
        </w:rPr>
        <w:t> Правил осуществления деятельности центрального депозитария, утвержденных постановлением Правления Национального Банка Республики Казахстан от 29 ноября 2018 года № 307, зарегистрированным в Реестре государственной регистрации нормативных правовых актов под № 17920 (далее – Правила № 307).</w:t>
      </w:r>
    </w:p>
    <w:bookmarkEnd w:id="42"/>
    <w:bookmarkStart w:name="z59" w:id="43"/>
    <w:p>
      <w:pPr>
        <w:spacing w:after="0"/>
        <w:ind w:left="0"/>
        <w:jc w:val="both"/>
      </w:pPr>
      <w:r>
        <w:rPr>
          <w:rFonts w:ascii="Times New Roman"/>
          <w:b w:val="false"/>
          <w:i w:val="false"/>
          <w:color w:val="000000"/>
          <w:sz w:val="28"/>
        </w:rPr>
        <w:t>
      Для целей настоящих Правил под иностранной расчетной организацией понимается:</w:t>
      </w:r>
    </w:p>
    <w:bookmarkEnd w:id="43"/>
    <w:bookmarkStart w:name="z60" w:id="44"/>
    <w:p>
      <w:pPr>
        <w:spacing w:after="0"/>
        <w:ind w:left="0"/>
        <w:jc w:val="both"/>
      </w:pPr>
      <w:r>
        <w:rPr>
          <w:rFonts w:ascii="Times New Roman"/>
          <w:b w:val="false"/>
          <w:i w:val="false"/>
          <w:color w:val="000000"/>
          <w:sz w:val="28"/>
        </w:rPr>
        <w:t>
      банк-нерезидент Республики Казахстан, имеющий долгосрочную кредитную рейтинговую оценку не ниже "ВВВ-" по международной шкале агентства Standard &amp; Poor's (Стандарт энд Пурс) или рейтинговую оценку аналогичного уровня рейтинговых агентств Moody's Investors Service (Мудис Инвесторс Сервис) и Fitch (Фич);</w:t>
      </w:r>
    </w:p>
    <w:bookmarkEnd w:id="44"/>
    <w:bookmarkStart w:name="z61" w:id="45"/>
    <w:p>
      <w:pPr>
        <w:spacing w:after="0"/>
        <w:ind w:left="0"/>
        <w:jc w:val="both"/>
      </w:pPr>
      <w:r>
        <w:rPr>
          <w:rFonts w:ascii="Times New Roman"/>
          <w:b w:val="false"/>
          <w:i w:val="false"/>
          <w:color w:val="000000"/>
          <w:sz w:val="28"/>
        </w:rPr>
        <w:t xml:space="preserve">
      иностранная организация, осуществляющая функции, аналогичные функциям номинального держателя,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 имеющая долгосрочную кредитную рейтинговую оценку не ниже "ВВВ" по международной шкале агентства Standard &amp; Poor's (Стандарт энд Пурс) или рейтинговую оценку аналогичного уровня рейтинговых агентств Moody's Investors Service (Мудис Инвесторс Сервис) и Fitch (Фич); </w:t>
      </w:r>
    </w:p>
    <w:bookmarkEnd w:id="45"/>
    <w:bookmarkStart w:name="z62" w:id="46"/>
    <w:p>
      <w:pPr>
        <w:spacing w:after="0"/>
        <w:ind w:left="0"/>
        <w:jc w:val="both"/>
      </w:pPr>
      <w:r>
        <w:rPr>
          <w:rFonts w:ascii="Times New Roman"/>
          <w:b w:val="false"/>
          <w:i w:val="false"/>
          <w:color w:val="000000"/>
          <w:sz w:val="28"/>
        </w:rPr>
        <w:t>
      организация-нерезидент Республики Казахстан, являющаяся членом Международной ассоциации по вопросам обслуживания ценных бумаг (International Securities Services Association) (Интернэшнл Секьюритис Сервисес Ассоциэйшн);</w:t>
      </w:r>
    </w:p>
    <w:bookmarkEnd w:id="46"/>
    <w:bookmarkStart w:name="z63" w:id="47"/>
    <w:p>
      <w:pPr>
        <w:spacing w:after="0"/>
        <w:ind w:left="0"/>
        <w:jc w:val="both"/>
      </w:pPr>
      <w:r>
        <w:rPr>
          <w:rFonts w:ascii="Times New Roman"/>
          <w:b w:val="false"/>
          <w:i w:val="false"/>
          <w:color w:val="000000"/>
          <w:sz w:val="28"/>
        </w:rPr>
        <w:t xml:space="preserve">
      иностранные расчетные организации, указанные в </w:t>
      </w:r>
      <w:r>
        <w:rPr>
          <w:rFonts w:ascii="Times New Roman"/>
          <w:b w:val="false"/>
          <w:i w:val="false"/>
          <w:color w:val="000000"/>
          <w:sz w:val="28"/>
        </w:rPr>
        <w:t>пункте 8</w:t>
      </w:r>
      <w:r>
        <w:rPr>
          <w:rFonts w:ascii="Times New Roman"/>
          <w:b w:val="false"/>
          <w:i w:val="false"/>
          <w:color w:val="000000"/>
          <w:sz w:val="28"/>
        </w:rPr>
        <w:t xml:space="preserve"> Правил осуществления брокерской и (или) дилерской деятельности на рынке ценных бумаг, порядка проведения брокером и (или) дилером банковских операций, утвержденных постановлением Правления Национального Банка Республики Казахстан от 3 февраля 2014 года № 9, зарегистрированным в Реестре государственной регистрации нормативных правовых актов под № 9249.";</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65" w:id="48"/>
    <w:p>
      <w:pPr>
        <w:spacing w:after="0"/>
        <w:ind w:left="0"/>
        <w:jc w:val="both"/>
      </w:pPr>
      <w:r>
        <w:rPr>
          <w:rFonts w:ascii="Times New Roman"/>
          <w:b w:val="false"/>
          <w:i w:val="false"/>
          <w:color w:val="000000"/>
          <w:sz w:val="28"/>
        </w:rPr>
        <w:t>
      "5. Лицевому счету присваивается номинальным держателем индивидуальный номер. Лицевой счет клиента в системе учета номинального держания содержит следующие сведения о (об):</w:t>
      </w:r>
    </w:p>
    <w:bookmarkEnd w:id="48"/>
    <w:bookmarkStart w:name="z66" w:id="49"/>
    <w:p>
      <w:pPr>
        <w:spacing w:after="0"/>
        <w:ind w:left="0"/>
        <w:jc w:val="both"/>
      </w:pPr>
      <w:r>
        <w:rPr>
          <w:rFonts w:ascii="Times New Roman"/>
          <w:b w:val="false"/>
          <w:i w:val="false"/>
          <w:color w:val="000000"/>
          <w:sz w:val="28"/>
        </w:rPr>
        <w:t xml:space="preserve">
      1) зарегистрированном лице (фамилия, имя, отчество (при его наличии) или наименование держателя ценных бумаг, признаки резидентства клиента, сведения о гражданстве физического лица, сектор экономики (в соответствии с Правилами применения кодов секторов экономики и назначения платежей,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 сведения о документе, подтверждающем регистрацию юридического лица или сведения о документе, удостоверяющем личность физического лица, индивидуальный идентификационный номер (далее – ИИН) физического лица или бизнес-идентификационный номер (далее – БИН) юридического лица (при наличии), почтовый и юридический адреса, банковские реквизиты (в том числе банковские реквизиты, предназначенные для перечисления вознаграждения и сумм в погашение по ценным бумагам, и банковские реквизиты, предназначенные для осуществления расчетов по сделкам с ценными бумагами), сведения о налоговых льготах и информация, необходимая центральному депозитарию и (или) номинальному держателю в соответствии со сводом правил или внутренним документом номинального держателя для открытия субсчета и (или) лицевого счета, соответственно);</w:t>
      </w:r>
    </w:p>
    <w:bookmarkEnd w:id="49"/>
    <w:bookmarkStart w:name="z67" w:id="50"/>
    <w:p>
      <w:pPr>
        <w:spacing w:after="0"/>
        <w:ind w:left="0"/>
        <w:jc w:val="both"/>
      </w:pPr>
      <w:r>
        <w:rPr>
          <w:rFonts w:ascii="Times New Roman"/>
          <w:b w:val="false"/>
          <w:i w:val="false"/>
          <w:color w:val="000000"/>
          <w:sz w:val="28"/>
        </w:rPr>
        <w:t>
      2) количестве, виде и идентификационном номере ценных бумаг, зарегистрированных на данном лицевом счете (субсчете);</w:t>
      </w:r>
    </w:p>
    <w:bookmarkEnd w:id="50"/>
    <w:bookmarkStart w:name="z68" w:id="51"/>
    <w:p>
      <w:pPr>
        <w:spacing w:after="0"/>
        <w:ind w:left="0"/>
        <w:jc w:val="both"/>
      </w:pPr>
      <w:r>
        <w:rPr>
          <w:rFonts w:ascii="Times New Roman"/>
          <w:b w:val="false"/>
          <w:i w:val="false"/>
          <w:color w:val="000000"/>
          <w:sz w:val="28"/>
        </w:rPr>
        <w:t>
      3) количестве и идентификаторе прав требования по обязательствам эмитента по эмиссионным ценным бумагам;</w:t>
      </w:r>
    </w:p>
    <w:bookmarkEnd w:id="51"/>
    <w:bookmarkStart w:name="z69" w:id="52"/>
    <w:p>
      <w:pPr>
        <w:spacing w:after="0"/>
        <w:ind w:left="0"/>
        <w:jc w:val="both"/>
      </w:pPr>
      <w:r>
        <w:rPr>
          <w:rFonts w:ascii="Times New Roman"/>
          <w:b w:val="false"/>
          <w:i w:val="false"/>
          <w:color w:val="000000"/>
          <w:sz w:val="28"/>
        </w:rPr>
        <w:t>
      4) количестве обремененных ценных бумаг (прав требования по обязательствам эмитента по эмиссионным ценным бумагам);</w:t>
      </w:r>
    </w:p>
    <w:bookmarkEnd w:id="52"/>
    <w:bookmarkStart w:name="z70" w:id="53"/>
    <w:p>
      <w:pPr>
        <w:spacing w:after="0"/>
        <w:ind w:left="0"/>
        <w:jc w:val="both"/>
      </w:pPr>
      <w:r>
        <w:rPr>
          <w:rFonts w:ascii="Times New Roman"/>
          <w:b w:val="false"/>
          <w:i w:val="false"/>
          <w:color w:val="000000"/>
          <w:sz w:val="28"/>
        </w:rPr>
        <w:t>
      5) лицах, в пользу которых осуществлено обременение ценных бумаг (прав требования по обязательствам эмитента по эмиссионным ценным бумагам);</w:t>
      </w:r>
    </w:p>
    <w:bookmarkEnd w:id="53"/>
    <w:bookmarkStart w:name="z71" w:id="54"/>
    <w:p>
      <w:pPr>
        <w:spacing w:after="0"/>
        <w:ind w:left="0"/>
        <w:jc w:val="both"/>
      </w:pPr>
      <w:r>
        <w:rPr>
          <w:rFonts w:ascii="Times New Roman"/>
          <w:b w:val="false"/>
          <w:i w:val="false"/>
          <w:color w:val="000000"/>
          <w:sz w:val="28"/>
        </w:rPr>
        <w:t>
      6) количестве блокированных ценных бумаг (прав требования по обязательствам эмитента по эмиссионным ценным бумагам);</w:t>
      </w:r>
    </w:p>
    <w:bookmarkEnd w:id="54"/>
    <w:bookmarkStart w:name="z72" w:id="55"/>
    <w:p>
      <w:pPr>
        <w:spacing w:after="0"/>
        <w:ind w:left="0"/>
        <w:jc w:val="both"/>
      </w:pPr>
      <w:r>
        <w:rPr>
          <w:rFonts w:ascii="Times New Roman"/>
          <w:b w:val="false"/>
          <w:i w:val="false"/>
          <w:color w:val="000000"/>
          <w:sz w:val="28"/>
        </w:rPr>
        <w:t>
      7) количестве ценных бумаг, являющихся предметом операции "репо";</w:t>
      </w:r>
    </w:p>
    <w:bookmarkEnd w:id="55"/>
    <w:bookmarkStart w:name="z73" w:id="56"/>
    <w:p>
      <w:pPr>
        <w:spacing w:after="0"/>
        <w:ind w:left="0"/>
        <w:jc w:val="both"/>
      </w:pPr>
      <w:r>
        <w:rPr>
          <w:rFonts w:ascii="Times New Roman"/>
          <w:b w:val="false"/>
          <w:i w:val="false"/>
          <w:color w:val="000000"/>
          <w:sz w:val="28"/>
        </w:rPr>
        <w:t>
      8) сделках, зарегистрированных по данному лицевому счету, и операциях, отраженных в системе учета номинального держания:</w:t>
      </w:r>
    </w:p>
    <w:bookmarkEnd w:id="56"/>
    <w:bookmarkStart w:name="z74" w:id="57"/>
    <w:p>
      <w:pPr>
        <w:spacing w:after="0"/>
        <w:ind w:left="0"/>
        <w:jc w:val="both"/>
      </w:pPr>
      <w:r>
        <w:rPr>
          <w:rFonts w:ascii="Times New Roman"/>
          <w:b w:val="false"/>
          <w:i w:val="false"/>
          <w:color w:val="000000"/>
          <w:sz w:val="28"/>
        </w:rPr>
        <w:t>
      вид сделки (операции);</w:t>
      </w:r>
    </w:p>
    <w:bookmarkEnd w:id="57"/>
    <w:bookmarkStart w:name="z75" w:id="58"/>
    <w:p>
      <w:pPr>
        <w:spacing w:after="0"/>
        <w:ind w:left="0"/>
        <w:jc w:val="both"/>
      </w:pPr>
      <w:r>
        <w:rPr>
          <w:rFonts w:ascii="Times New Roman"/>
          <w:b w:val="false"/>
          <w:i w:val="false"/>
          <w:color w:val="000000"/>
          <w:sz w:val="28"/>
        </w:rPr>
        <w:t>
      дата и время ее регистрации;</w:t>
      </w:r>
    </w:p>
    <w:bookmarkEnd w:id="58"/>
    <w:bookmarkStart w:name="z76" w:id="59"/>
    <w:p>
      <w:pPr>
        <w:spacing w:after="0"/>
        <w:ind w:left="0"/>
        <w:jc w:val="both"/>
      </w:pPr>
      <w:r>
        <w:rPr>
          <w:rFonts w:ascii="Times New Roman"/>
          <w:b w:val="false"/>
          <w:i w:val="false"/>
          <w:color w:val="000000"/>
          <w:sz w:val="28"/>
        </w:rPr>
        <w:t>
      основание проведения сделки (операции);</w:t>
      </w:r>
    </w:p>
    <w:bookmarkEnd w:id="59"/>
    <w:bookmarkStart w:name="z77" w:id="60"/>
    <w:p>
      <w:pPr>
        <w:spacing w:after="0"/>
        <w:ind w:left="0"/>
        <w:jc w:val="both"/>
      </w:pPr>
      <w:r>
        <w:rPr>
          <w:rFonts w:ascii="Times New Roman"/>
          <w:b w:val="false"/>
          <w:i w:val="false"/>
          <w:color w:val="000000"/>
          <w:sz w:val="28"/>
        </w:rPr>
        <w:t>
      номера лицевых счетов, участвовавших в операции;</w:t>
      </w:r>
    </w:p>
    <w:bookmarkEnd w:id="60"/>
    <w:bookmarkStart w:name="z78" w:id="61"/>
    <w:p>
      <w:pPr>
        <w:spacing w:after="0"/>
        <w:ind w:left="0"/>
        <w:jc w:val="both"/>
      </w:pPr>
      <w:r>
        <w:rPr>
          <w:rFonts w:ascii="Times New Roman"/>
          <w:b w:val="false"/>
          <w:i w:val="false"/>
          <w:color w:val="000000"/>
          <w:sz w:val="28"/>
        </w:rPr>
        <w:t>
      количество, вид, идентификационный номер ценных бумаг (количество и идентификатор прав требования по обязательствам эмитента по эмиссионным ценным бумагам), в отношении которых зарегистрирована сделка;</w:t>
      </w:r>
    </w:p>
    <w:bookmarkEnd w:id="61"/>
    <w:bookmarkStart w:name="z79" w:id="62"/>
    <w:p>
      <w:pPr>
        <w:spacing w:after="0"/>
        <w:ind w:left="0"/>
        <w:jc w:val="both"/>
      </w:pPr>
      <w:r>
        <w:rPr>
          <w:rFonts w:ascii="Times New Roman"/>
          <w:b w:val="false"/>
          <w:i w:val="false"/>
          <w:color w:val="000000"/>
          <w:sz w:val="28"/>
        </w:rPr>
        <w:t>
      9) сведения, необходимые для определенных видов операций (сделок).</w:t>
      </w:r>
    </w:p>
    <w:bookmarkEnd w:id="62"/>
    <w:bookmarkStart w:name="z80" w:id="63"/>
    <w:p>
      <w:pPr>
        <w:spacing w:after="0"/>
        <w:ind w:left="0"/>
        <w:jc w:val="both"/>
      </w:pPr>
      <w:r>
        <w:rPr>
          <w:rFonts w:ascii="Times New Roman"/>
          <w:b w:val="false"/>
          <w:i w:val="false"/>
          <w:color w:val="000000"/>
          <w:sz w:val="28"/>
        </w:rPr>
        <w:t xml:space="preserve">
      Субсчет клиента депонента в центральном депозитарии, помимо сведений, указанных в подпунктах 2), 3), 4), 5), 6), 7), 8) и 9) настоящего пункта, содержит сведения об уникальном коде данного клиента депонента, присвоенном центральным депозитарием в соответствии с пунктами 37-1 и 37-2 </w:t>
      </w:r>
      <w:r>
        <w:rPr>
          <w:rFonts w:ascii="Times New Roman"/>
          <w:b w:val="false"/>
          <w:i w:val="false"/>
          <w:color w:val="000000"/>
          <w:sz w:val="28"/>
        </w:rPr>
        <w:t>Правил № 307</w:t>
      </w:r>
      <w:r>
        <w:rPr>
          <w:rFonts w:ascii="Times New Roman"/>
          <w:b w:val="false"/>
          <w:i w:val="false"/>
          <w:color w:val="000000"/>
          <w:sz w:val="28"/>
        </w:rPr>
        <w:t>, а также содержит дополнительные сведения в случае их предоставления в центральный депозитарий.";</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82" w:id="64"/>
    <w:p>
      <w:pPr>
        <w:spacing w:after="0"/>
        <w:ind w:left="0"/>
        <w:jc w:val="both"/>
      </w:pPr>
      <w:r>
        <w:rPr>
          <w:rFonts w:ascii="Times New Roman"/>
          <w:b w:val="false"/>
          <w:i w:val="false"/>
          <w:color w:val="000000"/>
          <w:sz w:val="28"/>
        </w:rPr>
        <w:t>
      "16. Номинальный держатель в порядке, установленном сводом правил центрального депозитария, ежедневно не позднее 16:00 часов по времени города Нур-Султана рабочего дня, следующего за отчетным днем, осуществляет предоставление следующих электронных данных по субсчету депонента, открытому в системе учета центрального депозитария и предназначенному для агрегированного учета финансовых инструментов, принадлежащих его клиентам, об:</w:t>
      </w:r>
    </w:p>
    <w:bookmarkEnd w:id="64"/>
    <w:bookmarkStart w:name="z83" w:id="65"/>
    <w:p>
      <w:pPr>
        <w:spacing w:after="0"/>
        <w:ind w:left="0"/>
        <w:jc w:val="both"/>
      </w:pPr>
      <w:r>
        <w:rPr>
          <w:rFonts w:ascii="Times New Roman"/>
          <w:b w:val="false"/>
          <w:i w:val="false"/>
          <w:color w:val="000000"/>
          <w:sz w:val="28"/>
        </w:rPr>
        <w:t>
      остатках финансовых инструментов, числящихся на данном субсчете на начало и конец отчетного дня;</w:t>
      </w:r>
    </w:p>
    <w:bookmarkEnd w:id="65"/>
    <w:bookmarkStart w:name="z84" w:id="66"/>
    <w:p>
      <w:pPr>
        <w:spacing w:after="0"/>
        <w:ind w:left="0"/>
        <w:jc w:val="both"/>
      </w:pPr>
      <w:r>
        <w:rPr>
          <w:rFonts w:ascii="Times New Roman"/>
          <w:b w:val="false"/>
          <w:i w:val="false"/>
          <w:color w:val="000000"/>
          <w:sz w:val="28"/>
        </w:rPr>
        <w:t>
      операциях с финансовыми инструментами, зарегистрированных по лицевым счетам клиентов номинального держателя, совершенных по данному субсчету в течение отчетного дня.</w:t>
      </w:r>
    </w:p>
    <w:bookmarkEnd w:id="66"/>
    <w:bookmarkStart w:name="z85" w:id="67"/>
    <w:p>
      <w:pPr>
        <w:spacing w:after="0"/>
        <w:ind w:left="0"/>
        <w:jc w:val="both"/>
      </w:pPr>
      <w:r>
        <w:rPr>
          <w:rFonts w:ascii="Times New Roman"/>
          <w:b w:val="false"/>
          <w:i w:val="false"/>
          <w:color w:val="000000"/>
          <w:sz w:val="28"/>
        </w:rPr>
        <w:t>
      Требование части первой настоящего пункта не распространяется на депонентов, не имеющих на дату предоставления сведений в системе учета центрального депозитария субсчета депонента, предназначенного для агрегированного учета финансовых инструментов, принадлежащих его клиентам.";</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87" w:id="68"/>
    <w:p>
      <w:pPr>
        <w:spacing w:after="0"/>
        <w:ind w:left="0"/>
        <w:jc w:val="both"/>
      </w:pPr>
      <w:r>
        <w:rPr>
          <w:rFonts w:ascii="Times New Roman"/>
          <w:b w:val="false"/>
          <w:i w:val="false"/>
          <w:color w:val="000000"/>
          <w:sz w:val="28"/>
        </w:rPr>
        <w:t>
      "22. При проведении операции между клиентами одного номинального держателя регистрация перехода прав по ценным бумагам осуществляется номинальным держателем и отражается в системе учета центрального депозитария. Номинальный держатель направляет соответствующий приказ по субсчету клиента в системе учета центрального депозитария в день проведения операции по лицевым счетам в системе учета номинального держания. Операции между клиентами одного номинального держателя в системе учета центрального депозитария отражаются днем проведения операции в системе номинального держания. Номинальный держатель направляет отчет клиенту об исполнении его приказа не позднее следующего рабочего дня после получения подтверждения от центрального депозитария о проведенной операции.</w:t>
      </w:r>
    </w:p>
    <w:bookmarkEnd w:id="68"/>
    <w:bookmarkStart w:name="z88" w:id="69"/>
    <w:p>
      <w:pPr>
        <w:spacing w:after="0"/>
        <w:ind w:left="0"/>
        <w:jc w:val="both"/>
      </w:pPr>
      <w:r>
        <w:rPr>
          <w:rFonts w:ascii="Times New Roman"/>
          <w:b w:val="false"/>
          <w:i w:val="false"/>
          <w:color w:val="000000"/>
          <w:sz w:val="28"/>
        </w:rPr>
        <w:t>
      Требования, указанные в части первой настоящего пункта, не применяются в случаях проведения операций по субсчету депонента, открытому в системе учета центрального депозитария и предназначенному для агрегированного учета финансовых инструментов, принадлежащих его клиентам.</w:t>
      </w:r>
    </w:p>
    <w:bookmarkEnd w:id="69"/>
    <w:bookmarkStart w:name="z89" w:id="70"/>
    <w:p>
      <w:pPr>
        <w:spacing w:after="0"/>
        <w:ind w:left="0"/>
        <w:jc w:val="both"/>
      </w:pPr>
      <w:r>
        <w:rPr>
          <w:rFonts w:ascii="Times New Roman"/>
          <w:b w:val="false"/>
          <w:i w:val="false"/>
          <w:color w:val="000000"/>
          <w:sz w:val="28"/>
        </w:rPr>
        <w:t>
      В случаях проведения операций по субсчету депонента, предназначенному для агрегированного учета финансовых инструментов, принадлежащих его клиентам, регистрация перехода прав по ценным бумагам осуществляется депонентом, которым направляется отчет клиенту об исполнении его приказа не позднее следующего рабочего дня после проведения операции.</w:t>
      </w:r>
    </w:p>
    <w:bookmarkEnd w:id="70"/>
    <w:bookmarkStart w:name="z90" w:id="71"/>
    <w:p>
      <w:pPr>
        <w:spacing w:after="0"/>
        <w:ind w:left="0"/>
        <w:jc w:val="both"/>
      </w:pPr>
      <w:r>
        <w:rPr>
          <w:rFonts w:ascii="Times New Roman"/>
          <w:b w:val="false"/>
          <w:i w:val="false"/>
          <w:color w:val="000000"/>
          <w:sz w:val="28"/>
        </w:rPr>
        <w:t>
      Отчет об исполнении приказа направляется клиенту по почте либо выдается на руки клиенту или его законному представителю, либо составляется и выдается в форме электронного документа с использованием информационных систем номинального держателя.</w:t>
      </w:r>
    </w:p>
    <w:bookmarkEnd w:id="71"/>
    <w:bookmarkStart w:name="z91" w:id="72"/>
    <w:p>
      <w:pPr>
        <w:spacing w:after="0"/>
        <w:ind w:left="0"/>
        <w:jc w:val="both"/>
      </w:pPr>
      <w:r>
        <w:rPr>
          <w:rFonts w:ascii="Times New Roman"/>
          <w:b w:val="false"/>
          <w:i w:val="false"/>
          <w:color w:val="000000"/>
          <w:sz w:val="28"/>
        </w:rPr>
        <w:t>
      Отчет об исполнении приказа клиенту депонента направляется центральным депозитарием в форме электронного документа с использованием информационных систем в порядке и на условиях, предусмотренных внутренними документами центрального депозитария, в день подтверждения центральным депозитарием проведенной операции.</w:t>
      </w:r>
    </w:p>
    <w:bookmarkEnd w:id="72"/>
    <w:bookmarkStart w:name="z92" w:id="73"/>
    <w:p>
      <w:pPr>
        <w:spacing w:after="0"/>
        <w:ind w:left="0"/>
        <w:jc w:val="both"/>
      </w:pPr>
      <w:r>
        <w:rPr>
          <w:rFonts w:ascii="Times New Roman"/>
          <w:b w:val="false"/>
          <w:i w:val="false"/>
          <w:color w:val="000000"/>
          <w:sz w:val="28"/>
        </w:rPr>
        <w:t>
      Отчет об исполнении приказа клиенту организации, осуществляющей брокерскую и дилерскую деятельность с правом ведения счетов клиентов в качестве номинального держателя, направляется кастодианом по иностранным ценным бумагам, хранение и учет которых осуществляет данный кастодиан, в форме электронного документа с использованием информационных систем в порядке и на условиях, предусмотренных внутренними документами кастодиана, в день регистрации кастодианом проведенной операции.</w:t>
      </w:r>
    </w:p>
    <w:bookmarkEnd w:id="73"/>
    <w:bookmarkStart w:name="z93" w:id="74"/>
    <w:p>
      <w:pPr>
        <w:spacing w:after="0"/>
        <w:ind w:left="0"/>
        <w:jc w:val="both"/>
      </w:pPr>
      <w:r>
        <w:rPr>
          <w:rFonts w:ascii="Times New Roman"/>
          <w:b w:val="false"/>
          <w:i w:val="false"/>
          <w:color w:val="000000"/>
          <w:sz w:val="28"/>
        </w:rPr>
        <w:t>
      При проведении операции между клиентами разных номинальных держателей регистрация перехода прав по ценным бумагам осуществляется по их лицевым счетам в центральном депозитарии с последующим отражением в системе учета номинальных держателей. Номинальные держатели направляют приказы о регистрации сделки по субсчетам своих клиентов в системе учета центрального депозитария в день регистрации соответствующего приказа клиента в системе номинального держания.</w:t>
      </w:r>
    </w:p>
    <w:bookmarkEnd w:id="74"/>
    <w:bookmarkStart w:name="z94" w:id="75"/>
    <w:p>
      <w:pPr>
        <w:spacing w:after="0"/>
        <w:ind w:left="0"/>
        <w:jc w:val="both"/>
      </w:pPr>
      <w:r>
        <w:rPr>
          <w:rFonts w:ascii="Times New Roman"/>
          <w:b w:val="false"/>
          <w:i w:val="false"/>
          <w:color w:val="000000"/>
          <w:sz w:val="28"/>
        </w:rPr>
        <w:t>
      В день получения подтверждения от центрального депозитария о проведении операции по лицевым счетам номинальный держатель отражает данную операцию в системе учета номинального держания.</w:t>
      </w:r>
    </w:p>
    <w:bookmarkEnd w:id="75"/>
    <w:bookmarkStart w:name="z95" w:id="76"/>
    <w:p>
      <w:pPr>
        <w:spacing w:after="0"/>
        <w:ind w:left="0"/>
        <w:jc w:val="both"/>
      </w:pPr>
      <w:r>
        <w:rPr>
          <w:rFonts w:ascii="Times New Roman"/>
          <w:b w:val="false"/>
          <w:i w:val="false"/>
          <w:color w:val="000000"/>
          <w:sz w:val="28"/>
        </w:rPr>
        <w:t>
      При проведении операции на неорганизованном рынке ценных бумаг между клиентом центрального депозитария и клиентом номинального держателя регистрацию перехода прав по ценным бумагам осуществляет центральный депозитарий на основании встречных приказов участников сделки по лицевым счетам клиента центрального депозитария и номинального держателя.</w:t>
      </w:r>
    </w:p>
    <w:bookmarkEnd w:id="76"/>
    <w:bookmarkStart w:name="z96" w:id="77"/>
    <w:p>
      <w:pPr>
        <w:spacing w:after="0"/>
        <w:ind w:left="0"/>
        <w:jc w:val="both"/>
      </w:pPr>
      <w:r>
        <w:rPr>
          <w:rFonts w:ascii="Times New Roman"/>
          <w:b w:val="false"/>
          <w:i w:val="false"/>
          <w:color w:val="000000"/>
          <w:sz w:val="28"/>
        </w:rPr>
        <w:t xml:space="preserve">
      Регистрация изменения или прекращения прав по ценным бумагам по решению суда осуществляется номинальным держателем на основании полученного номинальным держателем решения суда, вступившего в законную силу, оформленного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Гражданского процессуального кодекса Республики Казахстан (далее - Гражданский процессуальный кодекс), и отражается в системе учета центрального депозитария. Изменение или прекращение прав по ценным бумагам по решению суда, зарегистрированное номинальным держателем, отражается в системе учета центрального депозитария в день проведения операции по лицевому счету в системе учета номинального держания.</w:t>
      </w:r>
    </w:p>
    <w:bookmarkEnd w:id="77"/>
    <w:bookmarkStart w:name="z97" w:id="78"/>
    <w:p>
      <w:pPr>
        <w:spacing w:after="0"/>
        <w:ind w:left="0"/>
        <w:jc w:val="both"/>
      </w:pPr>
      <w:r>
        <w:rPr>
          <w:rFonts w:ascii="Times New Roman"/>
          <w:b w:val="false"/>
          <w:i w:val="false"/>
          <w:color w:val="000000"/>
          <w:sz w:val="28"/>
        </w:rPr>
        <w:t xml:space="preserve">
      Регистрация изменения или прекращения прав по ценным бумагам по решению суда осуществляется центральным депозитарием на основании полученного центральным депозитарием решения суда, вступившего в законную силу, оформленного в соответствии со </w:t>
      </w:r>
      <w:r>
        <w:rPr>
          <w:rFonts w:ascii="Times New Roman"/>
          <w:b w:val="false"/>
          <w:i w:val="false"/>
          <w:color w:val="000000"/>
          <w:sz w:val="28"/>
        </w:rPr>
        <w:t>статьей 226</w:t>
      </w:r>
      <w:r>
        <w:rPr>
          <w:rFonts w:ascii="Times New Roman"/>
          <w:b w:val="false"/>
          <w:i w:val="false"/>
          <w:color w:val="000000"/>
          <w:sz w:val="28"/>
        </w:rPr>
        <w:t xml:space="preserve"> Гражданского процессуального кодекса, и отражается в системе учета номинального держателя. Изменение или прекращение прав по ценным бумагам по решению суда, зарегистрированное центральным депозитарием, отражается в системе учета номинального держания в день проведения операции по лицевому счету в системе учета центрального депозитария."; </w:t>
      </w:r>
    </w:p>
    <w:bookmarkEnd w:id="78"/>
    <w:bookmarkStart w:name="z98" w:id="79"/>
    <w:p>
      <w:pPr>
        <w:spacing w:after="0"/>
        <w:ind w:left="0"/>
        <w:jc w:val="both"/>
      </w:pPr>
      <w:r>
        <w:rPr>
          <w:rFonts w:ascii="Times New Roman"/>
          <w:b w:val="false"/>
          <w:i w:val="false"/>
          <w:color w:val="000000"/>
          <w:sz w:val="28"/>
        </w:rPr>
        <w:t>
      дополнить пунктом 22-1 следующего содержания:</w:t>
      </w:r>
    </w:p>
    <w:bookmarkEnd w:id="79"/>
    <w:bookmarkStart w:name="z99" w:id="80"/>
    <w:p>
      <w:pPr>
        <w:spacing w:after="0"/>
        <w:ind w:left="0"/>
        <w:jc w:val="both"/>
      </w:pPr>
      <w:r>
        <w:rPr>
          <w:rFonts w:ascii="Times New Roman"/>
          <w:b w:val="false"/>
          <w:i w:val="false"/>
          <w:color w:val="000000"/>
          <w:sz w:val="28"/>
        </w:rPr>
        <w:t xml:space="preserve">
      "22-1. Учет пенсионных активов в системе учета кастодиана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учета и оценки пенсионных активов, утвержденными постановлением Правления Национального Банка Республики Казахстан от 26 февраля 2014 года № 24, зарегистрированным в Реестре государственной регистрации нормативных правовых актов под № 9274."; </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02" w:id="81"/>
    <w:p>
      <w:pPr>
        <w:spacing w:after="0"/>
        <w:ind w:left="0"/>
        <w:jc w:val="both"/>
      </w:pPr>
      <w:r>
        <w:rPr>
          <w:rFonts w:ascii="Times New Roman"/>
          <w:b w:val="false"/>
          <w:i w:val="false"/>
          <w:color w:val="000000"/>
          <w:sz w:val="28"/>
        </w:rPr>
        <w:t>
      "29. Операция по изменению сведений о держателе, содержащихся в лицевом счете, проводится номинальным держателем на основании приказа указанного лица на изменение сведений о нем и документов, подтверждающих эти изменения, перечень которых устанавливается внутренними документами номинального держателя.</w:t>
      </w:r>
    </w:p>
    <w:bookmarkEnd w:id="81"/>
    <w:bookmarkStart w:name="z103" w:id="82"/>
    <w:p>
      <w:pPr>
        <w:spacing w:after="0"/>
        <w:ind w:left="0"/>
        <w:jc w:val="both"/>
      </w:pPr>
      <w:r>
        <w:rPr>
          <w:rFonts w:ascii="Times New Roman"/>
          <w:b w:val="false"/>
          <w:i w:val="false"/>
          <w:color w:val="000000"/>
          <w:sz w:val="28"/>
        </w:rPr>
        <w:t>
      В случае перевода денег клиентов номинального держателя, предназначенных для осуществления расчетов по сделкам с ценными бумагами, с корреспондентского счета номинального держателя, открытого в Национальном Банке Республики Казахстан на его корреспондентский счет, открытый в центральном депозитарии, операция по изменению сведений о держателе в части изменения банковских реквизитов держателей ценных бумаг, предназначенных для осуществления расчетов по сделкам с ценными бумагами, осуществляется на основании приказа данного номинального держателя.</w:t>
      </w:r>
    </w:p>
    <w:bookmarkEnd w:id="82"/>
    <w:bookmarkStart w:name="z104" w:id="83"/>
    <w:p>
      <w:pPr>
        <w:spacing w:after="0"/>
        <w:ind w:left="0"/>
        <w:jc w:val="both"/>
      </w:pPr>
      <w:r>
        <w:rPr>
          <w:rFonts w:ascii="Times New Roman"/>
          <w:b w:val="false"/>
          <w:i w:val="false"/>
          <w:color w:val="000000"/>
          <w:sz w:val="28"/>
        </w:rPr>
        <w:t>
      Операция по изменению сведений о паевом инвестиционном фонде, содержащихся в лицевом счете, проводится номинальным держателем на основании приказа управляющей компании данного фонда на изменение сведений о фонде и документов, подтверждающих эти изменения, перечень которых устанавливается внутренним документом номинального держателя</w:t>
      </w:r>
    </w:p>
    <w:bookmarkEnd w:id="83"/>
    <w:bookmarkStart w:name="z105" w:id="84"/>
    <w:p>
      <w:pPr>
        <w:spacing w:after="0"/>
        <w:ind w:left="0"/>
        <w:jc w:val="both"/>
      </w:pPr>
      <w:r>
        <w:rPr>
          <w:rFonts w:ascii="Times New Roman"/>
          <w:b w:val="false"/>
          <w:i w:val="false"/>
          <w:color w:val="000000"/>
          <w:sz w:val="28"/>
        </w:rPr>
        <w:t>
      Требования частей первой и третьей настоящего пункта не распространяются на случаи актуализации данных о клиентах центральным депозитарием, проводимой в рамках сверки данных о клиентах, содержащихся в системе учета центрального депозитария, с данными о таких клиентах, содержащихся в информации, представленной ЦОИД, кредитным бюро с государственным участием или полученной из государственных баз данных.";</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33-1</w:t>
      </w:r>
      <w:r>
        <w:rPr>
          <w:rFonts w:ascii="Times New Roman"/>
          <w:b w:val="false"/>
          <w:i w:val="false"/>
          <w:color w:val="000000"/>
          <w:sz w:val="28"/>
        </w:rPr>
        <w:t xml:space="preserve"> изложить в следующей редакции:</w:t>
      </w:r>
    </w:p>
    <w:bookmarkStart w:name="z107" w:id="85"/>
    <w:p>
      <w:pPr>
        <w:spacing w:after="0"/>
        <w:ind w:left="0"/>
        <w:jc w:val="both"/>
      </w:pPr>
      <w:r>
        <w:rPr>
          <w:rFonts w:ascii="Times New Roman"/>
          <w:b w:val="false"/>
          <w:i w:val="false"/>
          <w:color w:val="000000"/>
          <w:sz w:val="28"/>
        </w:rPr>
        <w:t xml:space="preserve">
      "33-1. В случае реорганизации номинального держателя (номинальных держателей) в форме разделения или слияния юридическое лицо, возникшее в результате такой реорганизации и переоформившее лицензию реорганизованного номинального держателя (реорганизованных номинальных держателей) в порядке, установленном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34 Закона Республики Казахстан "О разрешениях и уведомлениях", осуществляет подачу приказа центральному депозитарию на совершение операций, указанных в </w:t>
      </w:r>
      <w:r>
        <w:rPr>
          <w:rFonts w:ascii="Times New Roman"/>
          <w:b w:val="false"/>
          <w:i w:val="false"/>
          <w:color w:val="000000"/>
          <w:sz w:val="28"/>
        </w:rPr>
        <w:t>пункте 37</w:t>
      </w:r>
      <w:r>
        <w:rPr>
          <w:rFonts w:ascii="Times New Roman"/>
          <w:b w:val="false"/>
          <w:i w:val="false"/>
          <w:color w:val="000000"/>
          <w:sz w:val="28"/>
        </w:rPr>
        <w:t xml:space="preserve"> Правил № 307, в течение 30 (тридцати) календарных дней со дня получения от уполномоченного органа переоформленной лицензии.";</w:t>
      </w:r>
    </w:p>
    <w:bookmarkEnd w:id="85"/>
    <w:bookmarkStart w:name="z108" w:id="86"/>
    <w:p>
      <w:pPr>
        <w:spacing w:after="0"/>
        <w:ind w:left="0"/>
        <w:jc w:val="both"/>
      </w:pPr>
      <w:r>
        <w:rPr>
          <w:rFonts w:ascii="Times New Roman"/>
          <w:b w:val="false"/>
          <w:i w:val="false"/>
          <w:color w:val="000000"/>
          <w:sz w:val="28"/>
        </w:rPr>
        <w:t>
      дополнить пунктом 44-7 следующего содержания:</w:t>
      </w:r>
    </w:p>
    <w:bookmarkEnd w:id="86"/>
    <w:bookmarkStart w:name="z109" w:id="87"/>
    <w:p>
      <w:pPr>
        <w:spacing w:after="0"/>
        <w:ind w:left="0"/>
        <w:jc w:val="both"/>
      </w:pPr>
      <w:r>
        <w:rPr>
          <w:rFonts w:ascii="Times New Roman"/>
          <w:b w:val="false"/>
          <w:i w:val="false"/>
          <w:color w:val="000000"/>
          <w:sz w:val="28"/>
        </w:rPr>
        <w:t xml:space="preserve">
      "44-7. Если участник операции "репо" приобрел на организованном рынке ценных бумаг в рамках операции "репо", осуществляемой автоматическим способом, ценные бумаги, в отношении которых он является эмитентом, допускается учет данных ценных бумаг на его лицевом счете (субсчете) держателя ценных бумаг."; </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111" w:id="88"/>
    <w:p>
      <w:pPr>
        <w:spacing w:after="0"/>
        <w:ind w:left="0"/>
        <w:jc w:val="both"/>
      </w:pPr>
      <w:r>
        <w:rPr>
          <w:rFonts w:ascii="Times New Roman"/>
          <w:b w:val="false"/>
          <w:i w:val="false"/>
          <w:color w:val="000000"/>
          <w:sz w:val="28"/>
        </w:rPr>
        <w:t>
      "52. Центральный депозитарий не позднее дня, следующего за днем получения запроса от уполномоченного органа или эмитента, направляет запросы депонентам, у которых для учета ценных бумаг (прав требования по обязательствам эмитента по эмиссионным ценным бумагам) открыты лицевые счета лицам, являющимся нерезидентами Республики Казахстан, или организации, осуществляющей регистрацию сделок с ценными бумагами на территории Международного финансового центра "Астана".</w:t>
      </w:r>
    </w:p>
    <w:bookmarkEnd w:id="88"/>
    <w:bookmarkStart w:name="z112" w:id="89"/>
    <w:p>
      <w:pPr>
        <w:spacing w:after="0"/>
        <w:ind w:left="0"/>
        <w:jc w:val="both"/>
      </w:pPr>
      <w:r>
        <w:rPr>
          <w:rFonts w:ascii="Times New Roman"/>
          <w:b w:val="false"/>
          <w:i w:val="false"/>
          <w:color w:val="000000"/>
          <w:sz w:val="28"/>
        </w:rPr>
        <w:t>
      Если финансовые инструменты зарегистрированы на момент составления списка на разделе клиринговой организации (центрального контрагента) субсчета держателя и данный держатель одновременно является эмитентом данных финансовых инструментов, центральный депозитарий направляет клиринговой организации запрос на раскрытие информации о контрагенте по сделке автоматического "репо" с участием центрального контрагента.</w:t>
      </w:r>
    </w:p>
    <w:bookmarkEnd w:id="89"/>
    <w:bookmarkStart w:name="z113" w:id="90"/>
    <w:p>
      <w:pPr>
        <w:spacing w:after="0"/>
        <w:ind w:left="0"/>
        <w:jc w:val="both"/>
      </w:pPr>
      <w:r>
        <w:rPr>
          <w:rFonts w:ascii="Times New Roman"/>
          <w:b w:val="false"/>
          <w:i w:val="false"/>
          <w:color w:val="000000"/>
          <w:sz w:val="28"/>
        </w:rPr>
        <w:t>
      Информация о количестве ценных бумаг (о правах требования по обязательствам эмитента по эмиссионным ценным бумагам), находящихся в номинальном держании и принадлежащих собственникам, представляется запросившему лицу на основании сведений, имеющихся в системе учета центрального депозитария, а также сведений, полученных центральным депозитарием от номинальных держателей.".</w:t>
      </w:r>
    </w:p>
    <w:bookmarkEnd w:id="90"/>
    <w:bookmarkStart w:name="z114" w:id="91"/>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249 "Об утверждении Правил осуществления деятельности по ведению системы реестра держателей ценных бумаг" (зарегистрировано в Реестре государственной регистрации нормативных правовых актов под № 17803) следующие изменения и дополнения:</w:t>
      </w:r>
    </w:p>
    <w:bookmarkEnd w:id="91"/>
    <w:bookmarkStart w:name="z115" w:id="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по ведению системы реестра держателей ценных бумаг, утвержденных указанным постановлением:</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17" w:id="93"/>
    <w:p>
      <w:pPr>
        <w:spacing w:after="0"/>
        <w:ind w:left="0"/>
        <w:jc w:val="both"/>
      </w:pPr>
      <w:r>
        <w:rPr>
          <w:rFonts w:ascii="Times New Roman"/>
          <w:b w:val="false"/>
          <w:i w:val="false"/>
          <w:color w:val="000000"/>
          <w:sz w:val="28"/>
        </w:rPr>
        <w:t>
      "2. Для целей Правил используются следующие понятия:</w:t>
      </w:r>
    </w:p>
    <w:bookmarkEnd w:id="93"/>
    <w:bookmarkStart w:name="z118" w:id="94"/>
    <w:p>
      <w:pPr>
        <w:spacing w:after="0"/>
        <w:ind w:left="0"/>
        <w:jc w:val="both"/>
      </w:pPr>
      <w:r>
        <w:rPr>
          <w:rFonts w:ascii="Times New Roman"/>
          <w:b w:val="false"/>
          <w:i w:val="false"/>
          <w:color w:val="000000"/>
          <w:sz w:val="28"/>
        </w:rPr>
        <w:t>
      1) лицевой счет эмитента, открытый для учета эмиссионных ценных бумаг, срок обращения которых истек - лицевой счет, открытый эмитенту в системе реестров для учета эмиссионных ценных бумаг, срок обращения которых истек и эмитентом не исполнены обязательства по их погашению, списанных с лицевых счетов держателей этих ценных бумаг;</w:t>
      </w:r>
    </w:p>
    <w:bookmarkEnd w:id="94"/>
    <w:bookmarkStart w:name="z119" w:id="95"/>
    <w:p>
      <w:pPr>
        <w:spacing w:after="0"/>
        <w:ind w:left="0"/>
        <w:jc w:val="both"/>
      </w:pPr>
      <w:r>
        <w:rPr>
          <w:rFonts w:ascii="Times New Roman"/>
          <w:b w:val="false"/>
          <w:i w:val="false"/>
          <w:color w:val="000000"/>
          <w:sz w:val="28"/>
        </w:rPr>
        <w:t>
      2) аутентификация - подтверждение личности клиента, подлинности и правильности составления электронного документа путем использования процедуры безопасности;</w:t>
      </w:r>
    </w:p>
    <w:bookmarkEnd w:id="95"/>
    <w:bookmarkStart w:name="z120" w:id="96"/>
    <w:p>
      <w:pPr>
        <w:spacing w:after="0"/>
        <w:ind w:left="0"/>
        <w:jc w:val="both"/>
      </w:pPr>
      <w:r>
        <w:rPr>
          <w:rFonts w:ascii="Times New Roman"/>
          <w:b w:val="false"/>
          <w:i w:val="false"/>
          <w:color w:val="000000"/>
          <w:sz w:val="28"/>
        </w:rPr>
        <w:t>
      3) реестр держателей ценных бумаг - совокупность сведений о держателях ценных бумаг на определенную дату, позволяющих идентифицировать этих держателей, а также вид и количество принадлежащих им ценных бумаг (прав требования по обязательствам эмитента по эмиссионным ценным бумагам);</w:t>
      </w:r>
    </w:p>
    <w:bookmarkEnd w:id="96"/>
    <w:bookmarkStart w:name="z121" w:id="97"/>
    <w:p>
      <w:pPr>
        <w:spacing w:after="0"/>
        <w:ind w:left="0"/>
        <w:jc w:val="both"/>
      </w:pPr>
      <w:r>
        <w:rPr>
          <w:rFonts w:ascii="Times New Roman"/>
          <w:b w:val="false"/>
          <w:i w:val="false"/>
          <w:color w:val="000000"/>
          <w:sz w:val="28"/>
        </w:rPr>
        <w:t>
      4) лицевой счет держателя ценных бумаг - лицевой счет, открытый в системе реестров зарегистрированному лицу, являющемуся собственником ценных бумаг (прав требования по обязательствам эмитента по эмиссионным ценным бумагам) и (или) по которому осуществляется регистрация сделок и учет прав по эмиссионным ценным бумагам;</w:t>
      </w:r>
    </w:p>
    <w:bookmarkEnd w:id="97"/>
    <w:bookmarkStart w:name="z122" w:id="98"/>
    <w:p>
      <w:pPr>
        <w:spacing w:after="0"/>
        <w:ind w:left="0"/>
        <w:jc w:val="both"/>
      </w:pPr>
      <w:r>
        <w:rPr>
          <w:rFonts w:ascii="Times New Roman"/>
          <w:b w:val="false"/>
          <w:i w:val="false"/>
          <w:color w:val="000000"/>
          <w:sz w:val="28"/>
        </w:rPr>
        <w:t>
      5) биометрическая идентификация – процедура установления личности клиента с целью однозначного подтверждения его прав на получение электронных услуг на основе его физиологических и биологических особенностей с учетом требований Закона Республики Казахстан "О персональных данных и их защите";</w:t>
      </w:r>
    </w:p>
    <w:bookmarkEnd w:id="98"/>
    <w:bookmarkStart w:name="z123" w:id="99"/>
    <w:p>
      <w:pPr>
        <w:spacing w:after="0"/>
        <w:ind w:left="0"/>
        <w:jc w:val="both"/>
      </w:pPr>
      <w:r>
        <w:rPr>
          <w:rFonts w:ascii="Times New Roman"/>
          <w:b w:val="false"/>
          <w:i w:val="false"/>
          <w:color w:val="000000"/>
          <w:sz w:val="28"/>
        </w:rPr>
        <w:t>
      6) одноразовый пароль - пароль, действительный только для одного сеанса аутентификации субъектов получения услуг в электронной форме;</w:t>
      </w:r>
    </w:p>
    <w:bookmarkEnd w:id="99"/>
    <w:bookmarkStart w:name="z124" w:id="100"/>
    <w:p>
      <w:pPr>
        <w:spacing w:after="0"/>
        <w:ind w:left="0"/>
        <w:jc w:val="both"/>
      </w:pPr>
      <w:r>
        <w:rPr>
          <w:rFonts w:ascii="Times New Roman"/>
          <w:b w:val="false"/>
          <w:i w:val="false"/>
          <w:color w:val="000000"/>
          <w:sz w:val="28"/>
        </w:rPr>
        <w:t>
      7) динамическая идентификация клиента - процедура установления подлинности клиента с целью однозначного подтверждения его прав на получение услуг путем использования одноразового (единовременного) или многоразового кода;</w:t>
      </w:r>
    </w:p>
    <w:bookmarkEnd w:id="100"/>
    <w:bookmarkStart w:name="z125" w:id="101"/>
    <w:p>
      <w:pPr>
        <w:spacing w:after="0"/>
        <w:ind w:left="0"/>
        <w:jc w:val="both"/>
      </w:pPr>
      <w:r>
        <w:rPr>
          <w:rFonts w:ascii="Times New Roman"/>
          <w:b w:val="false"/>
          <w:i w:val="false"/>
          <w:color w:val="000000"/>
          <w:sz w:val="28"/>
        </w:rPr>
        <w:t xml:space="preserve">
      8) депонент - клиент центрального депозитария, осуществляющий функции,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101"/>
    <w:bookmarkStart w:name="z126" w:id="102"/>
    <w:p>
      <w:pPr>
        <w:spacing w:after="0"/>
        <w:ind w:left="0"/>
        <w:jc w:val="both"/>
      </w:pPr>
      <w:r>
        <w:rPr>
          <w:rFonts w:ascii="Times New Roman"/>
          <w:b w:val="false"/>
          <w:i w:val="false"/>
          <w:color w:val="000000"/>
          <w:sz w:val="28"/>
        </w:rPr>
        <w:t>
      9) лицевой счет эмитента для учета объявленных ценных бумаг - лицевой счет, открытый в системе реестров эмитенту, по которому осуществляется учет не размещенных эмиссионных ценных бумаг;</w:t>
      </w:r>
    </w:p>
    <w:bookmarkEnd w:id="102"/>
    <w:bookmarkStart w:name="z127" w:id="103"/>
    <w:p>
      <w:pPr>
        <w:spacing w:after="0"/>
        <w:ind w:left="0"/>
        <w:jc w:val="both"/>
      </w:pPr>
      <w:r>
        <w:rPr>
          <w:rFonts w:ascii="Times New Roman"/>
          <w:b w:val="false"/>
          <w:i w:val="false"/>
          <w:color w:val="000000"/>
          <w:sz w:val="28"/>
        </w:rPr>
        <w:t>
      10) реестр участников товарищества с ограниченной ответственностью - совокупность сведений об участниках товарищества с ограниченной ответственностью на определенную дату;</w:t>
      </w:r>
    </w:p>
    <w:bookmarkEnd w:id="103"/>
    <w:bookmarkStart w:name="z128" w:id="104"/>
    <w:p>
      <w:pPr>
        <w:spacing w:after="0"/>
        <w:ind w:left="0"/>
        <w:jc w:val="both"/>
      </w:pPr>
      <w:r>
        <w:rPr>
          <w:rFonts w:ascii="Times New Roman"/>
          <w:b w:val="false"/>
          <w:i w:val="false"/>
          <w:color w:val="000000"/>
          <w:sz w:val="28"/>
        </w:rPr>
        <w:t>
      11) реестр держателей паев паевого инвестиционного фонда - совокупность сведений о держателях паев паевого инвестиционного фонда на определенную дату, позволяющих идентифицировать этих держателей, а также вид и количество принадлежащих им паев;</w:t>
      </w:r>
    </w:p>
    <w:bookmarkEnd w:id="104"/>
    <w:bookmarkStart w:name="z129" w:id="105"/>
    <w:p>
      <w:pPr>
        <w:spacing w:after="0"/>
        <w:ind w:left="0"/>
        <w:jc w:val="both"/>
      </w:pPr>
      <w:r>
        <w:rPr>
          <w:rFonts w:ascii="Times New Roman"/>
          <w:b w:val="false"/>
          <w:i w:val="false"/>
          <w:color w:val="000000"/>
          <w:sz w:val="28"/>
        </w:rPr>
        <w:t>
      12) исламские ценные бумаги - исламские арендные сертификаты и исламские сертификаты участия;</w:t>
      </w:r>
    </w:p>
    <w:bookmarkEnd w:id="105"/>
    <w:bookmarkStart w:name="z130" w:id="106"/>
    <w:p>
      <w:pPr>
        <w:spacing w:after="0"/>
        <w:ind w:left="0"/>
        <w:jc w:val="both"/>
      </w:pPr>
      <w:r>
        <w:rPr>
          <w:rFonts w:ascii="Times New Roman"/>
          <w:b w:val="false"/>
          <w:i w:val="false"/>
          <w:color w:val="000000"/>
          <w:sz w:val="28"/>
        </w:rPr>
        <w:t>
      13) лицевой счет общего представителя - лицевой счет, открытый в системе реестров общему представителю участников общей собственности, по которому осуществляется учет ценных бумаг (прав требования по обязательствам эмитента по эмиссионным ценным бумагам), принадлежащих на праве собственности нескольким лицам;</w:t>
      </w:r>
    </w:p>
    <w:bookmarkEnd w:id="106"/>
    <w:bookmarkStart w:name="z131" w:id="107"/>
    <w:p>
      <w:pPr>
        <w:spacing w:after="0"/>
        <w:ind w:left="0"/>
        <w:jc w:val="both"/>
      </w:pPr>
      <w:r>
        <w:rPr>
          <w:rFonts w:ascii="Times New Roman"/>
          <w:b w:val="false"/>
          <w:i w:val="false"/>
          <w:color w:val="000000"/>
          <w:sz w:val="28"/>
        </w:rPr>
        <w:t>
      14) пароль - уникальная последовательность электронных цифровых символов, создаваемая программно-аппаратными средствами по запросу клиента и предназначенная для многоразового использования в течение определенного периода времени при предоставлении доступа клиенту к электронным услугам центрального депозитария;</w:t>
      </w:r>
    </w:p>
    <w:bookmarkEnd w:id="107"/>
    <w:bookmarkStart w:name="z132" w:id="108"/>
    <w:p>
      <w:pPr>
        <w:spacing w:after="0"/>
        <w:ind w:left="0"/>
        <w:jc w:val="both"/>
      </w:pPr>
      <w:r>
        <w:rPr>
          <w:rFonts w:ascii="Times New Roman"/>
          <w:b w:val="false"/>
          <w:i w:val="false"/>
          <w:color w:val="000000"/>
          <w:sz w:val="28"/>
        </w:rPr>
        <w:t>
      15) операция в системе реестров - совокупность действий, результатом которых является внесение данных в систему реестров или их изменение и (или) подготовка и предоставление информации из системы реестров;</w:t>
      </w:r>
    </w:p>
    <w:bookmarkEnd w:id="108"/>
    <w:bookmarkStart w:name="z133" w:id="109"/>
    <w:p>
      <w:pPr>
        <w:spacing w:after="0"/>
        <w:ind w:left="0"/>
        <w:jc w:val="both"/>
      </w:pPr>
      <w:r>
        <w:rPr>
          <w:rFonts w:ascii="Times New Roman"/>
          <w:b w:val="false"/>
          <w:i w:val="false"/>
          <w:color w:val="000000"/>
          <w:sz w:val="28"/>
        </w:rPr>
        <w:t>
      16) уполномоченный орган - уполномоченный орган по регулированию, контролю и надзору финансового рынка и финансовых организаций;</w:t>
      </w:r>
    </w:p>
    <w:bookmarkEnd w:id="109"/>
    <w:bookmarkStart w:name="z134" w:id="110"/>
    <w:p>
      <w:pPr>
        <w:spacing w:after="0"/>
        <w:ind w:left="0"/>
        <w:jc w:val="both"/>
      </w:pPr>
      <w:r>
        <w:rPr>
          <w:rFonts w:ascii="Times New Roman"/>
          <w:b w:val="false"/>
          <w:i w:val="false"/>
          <w:color w:val="000000"/>
          <w:sz w:val="28"/>
        </w:rPr>
        <w:t>
      17) лицевой счет эмитента для учета размещенных эмиссионных ценных бумаг, невостребованных их держателями - лицевой счет, открытый эмитенту в системе реестров для учета размещенных эмиссионных ценных бумаг, оплаченных держателем (держателями), но не зачисленных на его (их) лицевой (лицевые) счет (счета) в связи с непредставлением держателем (держателями) соответствующего (соответствующих) приказа (приказов);</w:t>
      </w:r>
    </w:p>
    <w:bookmarkEnd w:id="110"/>
    <w:bookmarkStart w:name="z135" w:id="111"/>
    <w:p>
      <w:pPr>
        <w:spacing w:after="0"/>
        <w:ind w:left="0"/>
        <w:jc w:val="both"/>
      </w:pPr>
      <w:r>
        <w:rPr>
          <w:rFonts w:ascii="Times New Roman"/>
          <w:b w:val="false"/>
          <w:i w:val="false"/>
          <w:color w:val="000000"/>
          <w:sz w:val="28"/>
        </w:rPr>
        <w:t>
      18) электронные услуги - услуги, предоставляемые клиенту через мобильное приложение или личный кабинет, по осуществлению операций по лицевому счету и (или) информационных операций, а также услуги, предоставляемые центральным депозитарием в соответствии со сводом правил центрального депозитария;</w:t>
      </w:r>
    </w:p>
    <w:bookmarkEnd w:id="111"/>
    <w:bookmarkStart w:name="z136" w:id="112"/>
    <w:p>
      <w:pPr>
        <w:spacing w:after="0"/>
        <w:ind w:left="0"/>
        <w:jc w:val="both"/>
      </w:pPr>
      <w:r>
        <w:rPr>
          <w:rFonts w:ascii="Times New Roman"/>
          <w:b w:val="false"/>
          <w:i w:val="false"/>
          <w:color w:val="000000"/>
          <w:sz w:val="28"/>
        </w:rPr>
        <w:t>
      19) лицевой счет эмитента для учета выкупленных ценных бумаг - лицевой счет, открытый в системе реестров эмитенту, по которому осуществляется учет эмиссионных ценных бумаг, выкупленных эмитентом на вторичном рынке ценных бумаг, а также зачисленных на этот счет в соответствии с пунктами 53 и 54 Правил;</w:t>
      </w:r>
    </w:p>
    <w:bookmarkEnd w:id="112"/>
    <w:bookmarkStart w:name="z137" w:id="113"/>
    <w:p>
      <w:pPr>
        <w:spacing w:after="0"/>
        <w:ind w:left="0"/>
        <w:jc w:val="both"/>
      </w:pPr>
      <w:r>
        <w:rPr>
          <w:rFonts w:ascii="Times New Roman"/>
          <w:b w:val="false"/>
          <w:i w:val="false"/>
          <w:color w:val="000000"/>
          <w:sz w:val="28"/>
        </w:rPr>
        <w:t>
      20) лицевой счет эмитента для учета выкупленных прав требования по обязательствам эмитента по эмиссионным ценным бумагам - лицевой счет, открытый эмитенту в системе реестров для учета выкупленных эмитентом на вторичном рынке ценных бумаг прав требования по его обязательствам по эмиссионным ценным бумагам, срок обращения которых истек, и эмитентом не исполнены обязательства по их погашению;</w:t>
      </w:r>
    </w:p>
    <w:bookmarkEnd w:id="113"/>
    <w:bookmarkStart w:name="z138" w:id="114"/>
    <w:p>
      <w:pPr>
        <w:spacing w:after="0"/>
        <w:ind w:left="0"/>
        <w:jc w:val="both"/>
      </w:pPr>
      <w:r>
        <w:rPr>
          <w:rFonts w:ascii="Times New Roman"/>
          <w:b w:val="false"/>
          <w:i w:val="false"/>
          <w:color w:val="000000"/>
          <w:sz w:val="28"/>
        </w:rPr>
        <w:t>
      21) права требования по обязательствам эмитента по эмиссионным ценным бумагам - права требования по обязательствам эмитента по эмиссионным ценным бумагам, срок обращения которых истек, и эмитентом не исполнены обязательства по их погашению.";</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40" w:id="115"/>
    <w:p>
      <w:pPr>
        <w:spacing w:after="0"/>
        <w:ind w:left="0"/>
        <w:jc w:val="both"/>
      </w:pPr>
      <w:r>
        <w:rPr>
          <w:rFonts w:ascii="Times New Roman"/>
          <w:b w:val="false"/>
          <w:i w:val="false"/>
          <w:color w:val="000000"/>
          <w:sz w:val="28"/>
        </w:rPr>
        <w:t>
      "4.1. Центральный депозитарий в порядке, определенном ЦОИД, кредитным бюро с государственным участием или уполномоченными государственными органами, осуществляющими формирование государственных баз данных, осуществляет в сроки, определенные внутренними правилами центрального депозитария, сверку данных о своих клиентах, содержащихся в системе учета центрального депозитария, с информацией о таких клиентах, получаемой центральным депозитарием из вышеуказанных источников.</w:t>
      </w:r>
    </w:p>
    <w:bookmarkEnd w:id="115"/>
    <w:bookmarkStart w:name="z141" w:id="116"/>
    <w:p>
      <w:pPr>
        <w:spacing w:after="0"/>
        <w:ind w:left="0"/>
        <w:jc w:val="both"/>
      </w:pPr>
      <w:r>
        <w:rPr>
          <w:rFonts w:ascii="Times New Roman"/>
          <w:b w:val="false"/>
          <w:i w:val="false"/>
          <w:color w:val="000000"/>
          <w:sz w:val="28"/>
        </w:rPr>
        <w:t>
      При выявлении по итогам данной сверки расхождения в данных о клиенте центральный депозитарий в порядке, предусмотренном его внутренними документами, определяет наличие данных о клиенте, подлежащих актуализации, и вносит соответствующие изменения в свою систему учета, после чего направляет такому клиенту уведомление в случае обновления его данных на основе информации, полученной с использованием услуг ЦОИД, или кредитного бюро с государственным участием или напрямую из государственных баз данных, в порядке, сроки и способом установленными сводом правил центрального депозитария.";</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143" w:id="117"/>
    <w:p>
      <w:pPr>
        <w:spacing w:after="0"/>
        <w:ind w:left="0"/>
        <w:jc w:val="both"/>
      </w:pPr>
      <w:r>
        <w:rPr>
          <w:rFonts w:ascii="Times New Roman"/>
          <w:b w:val="false"/>
          <w:i w:val="false"/>
          <w:color w:val="000000"/>
          <w:sz w:val="28"/>
        </w:rPr>
        <w:t>
      "12. Открытие лицевого счета физическому лицу в системе реестров осуществляется на основании следующих документов:</w:t>
      </w:r>
    </w:p>
    <w:bookmarkEnd w:id="117"/>
    <w:bookmarkStart w:name="z144" w:id="118"/>
    <w:p>
      <w:pPr>
        <w:spacing w:after="0"/>
        <w:ind w:left="0"/>
        <w:jc w:val="both"/>
      </w:pPr>
      <w:r>
        <w:rPr>
          <w:rFonts w:ascii="Times New Roman"/>
          <w:b w:val="false"/>
          <w:i w:val="false"/>
          <w:color w:val="000000"/>
          <w:sz w:val="28"/>
        </w:rPr>
        <w:t>
      1) приказ на открытие лицевого счета;</w:t>
      </w:r>
    </w:p>
    <w:bookmarkEnd w:id="118"/>
    <w:bookmarkStart w:name="z145" w:id="119"/>
    <w:p>
      <w:pPr>
        <w:spacing w:after="0"/>
        <w:ind w:left="0"/>
        <w:jc w:val="both"/>
      </w:pPr>
      <w:r>
        <w:rPr>
          <w:rFonts w:ascii="Times New Roman"/>
          <w:b w:val="false"/>
          <w:i w:val="false"/>
          <w:color w:val="000000"/>
          <w:sz w:val="28"/>
        </w:rPr>
        <w:t>
      2) документ, удостоверяющий личность физического лица, или нотариально засвидетельствованная копия документа, удостоверяющего личность физического лица (в случае представления документов почтовой связью или копия документа, удостоверяющего личность физического лица с приложением копии заявки на приобретение паев паевого инвестиционного фонда (в случае передачи управляющей компанией документов от имени физического лица, подавшего заявку на приобретение паев).</w:t>
      </w:r>
    </w:p>
    <w:bookmarkEnd w:id="119"/>
    <w:bookmarkStart w:name="z146" w:id="120"/>
    <w:p>
      <w:pPr>
        <w:spacing w:after="0"/>
        <w:ind w:left="0"/>
        <w:jc w:val="both"/>
      </w:pPr>
      <w:r>
        <w:rPr>
          <w:rFonts w:ascii="Times New Roman"/>
          <w:b w:val="false"/>
          <w:i w:val="false"/>
          <w:color w:val="000000"/>
          <w:sz w:val="28"/>
        </w:rPr>
        <w:t>
      Подача приказа на открытие лицевого счета физическому лицу осуществляется в бумажном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либо в иной электронно-цифровой форме с использованием динамической и (или) биометрической идентификации клиента.</w:t>
      </w:r>
    </w:p>
    <w:bookmarkEnd w:id="120"/>
    <w:bookmarkStart w:name="z147" w:id="121"/>
    <w:p>
      <w:pPr>
        <w:spacing w:after="0"/>
        <w:ind w:left="0"/>
        <w:jc w:val="both"/>
      </w:pPr>
      <w:r>
        <w:rPr>
          <w:rFonts w:ascii="Times New Roman"/>
          <w:b w:val="false"/>
          <w:i w:val="false"/>
          <w:color w:val="000000"/>
          <w:sz w:val="28"/>
        </w:rPr>
        <w:t>
      13. Открытие лицевого счета юридическому лицу осуществляется на основании следующих документов:</w:t>
      </w:r>
    </w:p>
    <w:bookmarkEnd w:id="121"/>
    <w:bookmarkStart w:name="z148" w:id="122"/>
    <w:p>
      <w:pPr>
        <w:spacing w:after="0"/>
        <w:ind w:left="0"/>
        <w:jc w:val="both"/>
      </w:pPr>
      <w:r>
        <w:rPr>
          <w:rFonts w:ascii="Times New Roman"/>
          <w:b w:val="false"/>
          <w:i w:val="false"/>
          <w:color w:val="000000"/>
          <w:sz w:val="28"/>
        </w:rPr>
        <w:t>
      1) приказ на открытие лицевого счета;</w:t>
      </w:r>
    </w:p>
    <w:bookmarkEnd w:id="122"/>
    <w:bookmarkStart w:name="z149" w:id="123"/>
    <w:p>
      <w:pPr>
        <w:spacing w:after="0"/>
        <w:ind w:left="0"/>
        <w:jc w:val="both"/>
      </w:pPr>
      <w:r>
        <w:rPr>
          <w:rFonts w:ascii="Times New Roman"/>
          <w:b w:val="false"/>
          <w:i w:val="false"/>
          <w:color w:val="000000"/>
          <w:sz w:val="28"/>
        </w:rPr>
        <w:t>
      2) копия справки о государственной регистрации (перерегистрации) юридического лица;</w:t>
      </w:r>
    </w:p>
    <w:bookmarkEnd w:id="123"/>
    <w:bookmarkStart w:name="z150" w:id="124"/>
    <w:p>
      <w:pPr>
        <w:spacing w:after="0"/>
        <w:ind w:left="0"/>
        <w:jc w:val="both"/>
      </w:pPr>
      <w:r>
        <w:rPr>
          <w:rFonts w:ascii="Times New Roman"/>
          <w:b w:val="false"/>
          <w:i w:val="false"/>
          <w:color w:val="000000"/>
          <w:sz w:val="28"/>
        </w:rPr>
        <w:t>
      3) документ, содержащий нотариально засвидетельствованные образцы подписей представителей юридического лица, обладающих правом подписывать документы на проведение операций по лицевым счетам и информационных операций, включающий следующие сведения:</w:t>
      </w:r>
    </w:p>
    <w:bookmarkEnd w:id="124"/>
    <w:bookmarkStart w:name="z151" w:id="125"/>
    <w:p>
      <w:pPr>
        <w:spacing w:after="0"/>
        <w:ind w:left="0"/>
        <w:jc w:val="both"/>
      </w:pPr>
      <w:r>
        <w:rPr>
          <w:rFonts w:ascii="Times New Roman"/>
          <w:b w:val="false"/>
          <w:i w:val="false"/>
          <w:color w:val="000000"/>
          <w:sz w:val="28"/>
        </w:rPr>
        <w:t>
      наименование юридического лица;</w:t>
      </w:r>
    </w:p>
    <w:bookmarkEnd w:id="125"/>
    <w:bookmarkStart w:name="z152" w:id="126"/>
    <w:p>
      <w:pPr>
        <w:spacing w:after="0"/>
        <w:ind w:left="0"/>
        <w:jc w:val="both"/>
      </w:pPr>
      <w:r>
        <w:rPr>
          <w:rFonts w:ascii="Times New Roman"/>
          <w:b w:val="false"/>
          <w:i w:val="false"/>
          <w:color w:val="000000"/>
          <w:sz w:val="28"/>
        </w:rPr>
        <w:t>
      должность, фамилия, имя, отчество (при его наличии) представителя юридического лица, данные документа, удостоверяющего личность;</w:t>
      </w:r>
    </w:p>
    <w:bookmarkEnd w:id="126"/>
    <w:bookmarkStart w:name="z153" w:id="127"/>
    <w:p>
      <w:pPr>
        <w:spacing w:after="0"/>
        <w:ind w:left="0"/>
        <w:jc w:val="both"/>
      </w:pPr>
      <w:r>
        <w:rPr>
          <w:rFonts w:ascii="Times New Roman"/>
          <w:b w:val="false"/>
          <w:i w:val="false"/>
          <w:color w:val="000000"/>
          <w:sz w:val="28"/>
        </w:rPr>
        <w:t>
      указание на то, что образцы подписей, содержащиеся в данном документе, считаются обязательными при осуществлении операций по лицевому счету юридического лица и информационных операций.</w:t>
      </w:r>
    </w:p>
    <w:bookmarkEnd w:id="127"/>
    <w:bookmarkStart w:name="z154" w:id="128"/>
    <w:p>
      <w:pPr>
        <w:spacing w:after="0"/>
        <w:ind w:left="0"/>
        <w:jc w:val="both"/>
      </w:pPr>
      <w:r>
        <w:rPr>
          <w:rFonts w:ascii="Times New Roman"/>
          <w:b w:val="false"/>
          <w:i w:val="false"/>
          <w:color w:val="000000"/>
          <w:sz w:val="28"/>
        </w:rPr>
        <w:t>
      При предоставлении первым руководителем юридического лица приказа на открытие лицевого счета юридического лица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идентификации клиента и (или) биометрической идентификации первого руководителя юридического лица, документ, указанный в подпункте 3) настоящего пункта, не предоставляется.</w:t>
      </w:r>
    </w:p>
    <w:bookmarkEnd w:id="128"/>
    <w:bookmarkStart w:name="z155" w:id="129"/>
    <w:p>
      <w:pPr>
        <w:spacing w:after="0"/>
        <w:ind w:left="0"/>
        <w:jc w:val="both"/>
      </w:pPr>
      <w:r>
        <w:rPr>
          <w:rFonts w:ascii="Times New Roman"/>
          <w:b w:val="false"/>
          <w:i w:val="false"/>
          <w:color w:val="000000"/>
          <w:sz w:val="28"/>
        </w:rPr>
        <w:t>
      14. Документы на открытие лицевого счета, указанные в пункте 12 Правил, представляются физическим лицом или его представителем на основании доверенности, оформленной в соответствии с гражданским законодательством Республики Казахстан, либо направляются почтовой связью или в форме электронного документа посредством использования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129"/>
    <w:bookmarkStart w:name="z156" w:id="130"/>
    <w:p>
      <w:pPr>
        <w:spacing w:after="0"/>
        <w:ind w:left="0"/>
        <w:jc w:val="both"/>
      </w:pPr>
      <w:r>
        <w:rPr>
          <w:rFonts w:ascii="Times New Roman"/>
          <w:b w:val="false"/>
          <w:i w:val="false"/>
          <w:color w:val="000000"/>
          <w:sz w:val="28"/>
        </w:rPr>
        <w:t>
      Документы на открытие лицевого счета, указанные в пункте 13 Правил, представляются первым руководителем юридического лица и (или) его представителем на основании доверенности, оформленной в соответствии с гражданским законодательством Республики Казахстан, либо направляются почтовой связью.</w:t>
      </w:r>
    </w:p>
    <w:bookmarkEnd w:id="130"/>
    <w:bookmarkStart w:name="z157" w:id="131"/>
    <w:p>
      <w:pPr>
        <w:spacing w:after="0"/>
        <w:ind w:left="0"/>
        <w:jc w:val="both"/>
      </w:pPr>
      <w:r>
        <w:rPr>
          <w:rFonts w:ascii="Times New Roman"/>
          <w:b w:val="false"/>
          <w:i w:val="false"/>
          <w:color w:val="000000"/>
          <w:sz w:val="28"/>
        </w:rPr>
        <w:t>
      Документы на открытие лицевого счета, указанные в пункте 13 Правил, в форме электронного документа предоставляются посредством использования информационных систем в соответствии с законодательством Республики Казахстан об электронном документе и электронной цифровой подписи, подписанные электронной цифровой подписью первого руководителя юридического лица или иной электронно-цифровой форме с использованием динамической и (или) биометрической идентификации первого руководителя юридического лица.</w:t>
      </w:r>
    </w:p>
    <w:bookmarkEnd w:id="131"/>
    <w:bookmarkStart w:name="z158" w:id="132"/>
    <w:p>
      <w:pPr>
        <w:spacing w:after="0"/>
        <w:ind w:left="0"/>
        <w:jc w:val="both"/>
      </w:pPr>
      <w:r>
        <w:rPr>
          <w:rFonts w:ascii="Times New Roman"/>
          <w:b w:val="false"/>
          <w:i w:val="false"/>
          <w:color w:val="000000"/>
          <w:sz w:val="28"/>
        </w:rPr>
        <w:t>
      В случае открытия лицевого счета лицу, подавшему управляющей компании заявку на приобретение паев, передача центральному депозитарию документов, указанных в пунктах 12 и 13 Правил, осуществляется управляющей компанией, если это предусмотрено правилами паевого инвестиционного фонда.";</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160" w:id="133"/>
    <w:p>
      <w:pPr>
        <w:spacing w:after="0"/>
        <w:ind w:left="0"/>
        <w:jc w:val="both"/>
      </w:pPr>
      <w:r>
        <w:rPr>
          <w:rFonts w:ascii="Times New Roman"/>
          <w:b w:val="false"/>
          <w:i w:val="false"/>
          <w:color w:val="000000"/>
          <w:sz w:val="28"/>
        </w:rPr>
        <w:t>
      "16. Если право собственности на ценные бумаги принадлежит нескольким лицам, лицевой счет в системе реестров открывается на основании приказа на открытие лицевого счета их общего представителя с приложением соглашения всех участников общей собственности о его выборе в бумажном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133"/>
    <w:bookmarkStart w:name="z161" w:id="134"/>
    <w:p>
      <w:pPr>
        <w:spacing w:after="0"/>
        <w:ind w:left="0"/>
        <w:jc w:val="both"/>
      </w:pPr>
      <w:r>
        <w:rPr>
          <w:rFonts w:ascii="Times New Roman"/>
          <w:b w:val="false"/>
          <w:i w:val="false"/>
          <w:color w:val="000000"/>
          <w:sz w:val="28"/>
        </w:rPr>
        <w:t>
      17. Приказ на открытие (закрытие) лицевого счета подписывается физическим лицом или его представителем либо представителем юридического лица, и содержит сведения, предусмотренные сводом правил центрального депозитария.";</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163" w:id="135"/>
    <w:p>
      <w:pPr>
        <w:spacing w:after="0"/>
        <w:ind w:left="0"/>
        <w:jc w:val="both"/>
      </w:pPr>
      <w:r>
        <w:rPr>
          <w:rFonts w:ascii="Times New Roman"/>
          <w:b w:val="false"/>
          <w:i w:val="false"/>
          <w:color w:val="000000"/>
          <w:sz w:val="28"/>
        </w:rPr>
        <w:t>
      "25. Документы, поступающие к центральному депозитарию, регистрируются в журналах регистрации входящих документов, учета приказов эмитентов и зарегистрированных лиц, учета доверенностей. После принятия документа (за исключением случаев принятия документов в электронно-цифровой форме с использованием информационных систем) центральный депозитарий по запросу обратившегося лица выдает ему документ, подтверждающий факт приема, с указанием даты (времени) приема и фамилии, имени, отчества (при его наличии) работника центрального депозитария, осуществившего прием и регистрацию документа.";</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165" w:id="136"/>
    <w:p>
      <w:pPr>
        <w:spacing w:after="0"/>
        <w:ind w:left="0"/>
        <w:jc w:val="both"/>
      </w:pPr>
      <w:r>
        <w:rPr>
          <w:rFonts w:ascii="Times New Roman"/>
          <w:b w:val="false"/>
          <w:i w:val="false"/>
          <w:color w:val="000000"/>
          <w:sz w:val="28"/>
        </w:rPr>
        <w:t>
      "38. Приказ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 содержит сведения, предусмотренные сводом правил центрального депозитария.</w:t>
      </w:r>
    </w:p>
    <w:bookmarkEnd w:id="136"/>
    <w:bookmarkStart w:name="z166" w:id="137"/>
    <w:p>
      <w:pPr>
        <w:spacing w:after="0"/>
        <w:ind w:left="0"/>
        <w:jc w:val="both"/>
      </w:pPr>
      <w:r>
        <w:rPr>
          <w:rFonts w:ascii="Times New Roman"/>
          <w:b w:val="false"/>
          <w:i w:val="false"/>
          <w:color w:val="000000"/>
          <w:sz w:val="28"/>
        </w:rPr>
        <w:t>
      Приказ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 подписывается лицом, участвующим в сделке, или его представителем, а также центральным депозитарием в случаях, установленных законодательством Республики Казахстан о рынке ценных бумаг. Приказ представляется в бумажном виде,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137"/>
    <w:bookmarkStart w:name="z167" w:id="138"/>
    <w:p>
      <w:pPr>
        <w:spacing w:after="0"/>
        <w:ind w:left="0"/>
        <w:jc w:val="both"/>
      </w:pPr>
      <w:r>
        <w:rPr>
          <w:rFonts w:ascii="Times New Roman"/>
          <w:b w:val="false"/>
          <w:i w:val="false"/>
          <w:color w:val="000000"/>
          <w:sz w:val="28"/>
        </w:rPr>
        <w:t>
      Приказ управляющей компании паевого инвестиционного фонда на списание (зачисление) паев с (на) лицевых (лицевые) счетов (счета) зарегистрированных лиц подписывается ее представителем, а также подписывается руководителем подразделения кастодиана, обеспечивающего учет активов паевого инвестиционного фонда, либо подтверждается кастодианом путем направления им центральному депозитарию своего подтверждения приказа управляющей компании паевого инвестиционного фонда на списание (зачисление) паев с (на) лицевых (лицевые) счетов (счета) зарегистрированных лиц в письменном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138"/>
    <w:bookmarkStart w:name="z168" w:id="139"/>
    <w:p>
      <w:pPr>
        <w:spacing w:after="0"/>
        <w:ind w:left="0"/>
        <w:jc w:val="both"/>
      </w:pPr>
      <w:r>
        <w:rPr>
          <w:rFonts w:ascii="Times New Roman"/>
          <w:b w:val="false"/>
          <w:i w:val="false"/>
          <w:color w:val="000000"/>
          <w:sz w:val="28"/>
        </w:rPr>
        <w:t>
      Форма и содержание приказов, представляемых центральному депозитарию, а также подтверждения кастодиана приказа управляющей компании, определяются сводом правил центрального депозитария.</w:t>
      </w:r>
    </w:p>
    <w:bookmarkEnd w:id="139"/>
    <w:bookmarkStart w:name="z169" w:id="140"/>
    <w:p>
      <w:pPr>
        <w:spacing w:after="0"/>
        <w:ind w:left="0"/>
        <w:jc w:val="both"/>
      </w:pPr>
      <w:r>
        <w:rPr>
          <w:rFonts w:ascii="Times New Roman"/>
          <w:b w:val="false"/>
          <w:i w:val="false"/>
          <w:color w:val="000000"/>
          <w:sz w:val="28"/>
        </w:rPr>
        <w:t>
      Порядок и условия подачи приказов в форме электронного документа или иной электронно-цифровой форме с использованием динамической и (или) биометрической идентификации клиента с учетом процедур безопасности, а также их форматы, порядок предъявления претензий и способы разрешения спорных ситуаций, возникающих при приеме приказов, определяются сводом правил центрального депозитария.";</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171" w:id="141"/>
    <w:p>
      <w:pPr>
        <w:spacing w:after="0"/>
        <w:ind w:left="0"/>
        <w:jc w:val="both"/>
      </w:pPr>
      <w:r>
        <w:rPr>
          <w:rFonts w:ascii="Times New Roman"/>
          <w:b w:val="false"/>
          <w:i w:val="false"/>
          <w:color w:val="000000"/>
          <w:sz w:val="28"/>
        </w:rPr>
        <w:t>
      "40. В случае проведения операции по лицевому счету общего представителя участников общей собственности центральному депозитарию предоставляется согласие всех участников общей собственности на проведение операции в бумажном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141"/>
    <w:bookmarkStart w:name="z172" w:id="142"/>
    <w:p>
      <w:pPr>
        <w:spacing w:after="0"/>
        <w:ind w:left="0"/>
        <w:jc w:val="both"/>
      </w:pPr>
      <w:r>
        <w:rPr>
          <w:rFonts w:ascii="Times New Roman"/>
          <w:b w:val="false"/>
          <w:i w:val="false"/>
          <w:color w:val="000000"/>
          <w:sz w:val="28"/>
        </w:rPr>
        <w:t>
      41. При проведении операции по лицевым счетам центральный депозитарий проверяет содержание приказов участников сделки на соответствие законодательству Республики Казахстан о рынке ценных бумаг, исходя из данных системы реестров, и осуществляет сверку подписей на приказах на их соответствие подписям, указанным в документе, содержащем нотариально засвидетельствованные образцы подписей представителей юридического лица, обладающих правом подписывать документы на регистрацию операций по лицевым счетам и информационных операций, или документе, удостоверяющем личность физического лица (в оригинале или нотариально засвидетельствованной копии), которые являются стороной сделки либо представителями по доверенности.</w:t>
      </w:r>
    </w:p>
    <w:bookmarkEnd w:id="142"/>
    <w:bookmarkStart w:name="z173" w:id="143"/>
    <w:p>
      <w:pPr>
        <w:spacing w:after="0"/>
        <w:ind w:left="0"/>
        <w:jc w:val="both"/>
      </w:pPr>
      <w:r>
        <w:rPr>
          <w:rFonts w:ascii="Times New Roman"/>
          <w:b w:val="false"/>
          <w:i w:val="false"/>
          <w:color w:val="000000"/>
          <w:sz w:val="28"/>
        </w:rPr>
        <w:t>
      При проведении операций по лицевым счетам на основании приказов, распоряжений, поданных в форме электронного документа, центральный депозитарий осуществляет проверку электронных цифровых подписей в соответствии с законодательством Республики Казахстан об электронном документе и электронной цифровой подписи.</w:t>
      </w:r>
    </w:p>
    <w:bookmarkEnd w:id="143"/>
    <w:bookmarkStart w:name="z174" w:id="144"/>
    <w:p>
      <w:pPr>
        <w:spacing w:after="0"/>
        <w:ind w:left="0"/>
        <w:jc w:val="both"/>
      </w:pPr>
      <w:r>
        <w:rPr>
          <w:rFonts w:ascii="Times New Roman"/>
          <w:b w:val="false"/>
          <w:i w:val="false"/>
          <w:color w:val="000000"/>
          <w:sz w:val="28"/>
        </w:rPr>
        <w:t>
      При проведении операций по лицевым счетам на основании приказов, распоряжений, поданных в иной электронно-цифровой форме, центральный депозитарий осуществляет динамическую и (или) биометрическую идентификацию клиента</w:t>
      </w:r>
    </w:p>
    <w:bookmarkEnd w:id="144"/>
    <w:bookmarkStart w:name="z175" w:id="145"/>
    <w:p>
      <w:pPr>
        <w:spacing w:after="0"/>
        <w:ind w:left="0"/>
        <w:jc w:val="both"/>
      </w:pPr>
      <w:r>
        <w:rPr>
          <w:rFonts w:ascii="Times New Roman"/>
          <w:b w:val="false"/>
          <w:i w:val="false"/>
          <w:color w:val="000000"/>
          <w:sz w:val="28"/>
        </w:rPr>
        <w:t>
      При проведении операций по лицевым счетам юридического лица, подписание приказов, распоряжений, подаваемых в форме электронного документа или в иной электронно-цифровой форме, осуществляется первым руководителем юридического лица или лицами, обладающими правом подписывать такие документы на основании сведений, предоставленных центральному депозитарию.";</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177" w:id="146"/>
    <w:p>
      <w:pPr>
        <w:spacing w:after="0"/>
        <w:ind w:left="0"/>
        <w:jc w:val="both"/>
      </w:pPr>
      <w:r>
        <w:rPr>
          <w:rFonts w:ascii="Times New Roman"/>
          <w:b w:val="false"/>
          <w:i w:val="false"/>
          <w:color w:val="000000"/>
          <w:sz w:val="28"/>
        </w:rPr>
        <w:t>
      "66. Операция по регистрации перехода прав на заложенные ценные бумаги (права требования по обязательствам эмитента по эмиссионным ценным бумагам) иному лицу в результате уступки прав требования по данным ценным бумагам осуществляется центральным депозитарием на основании следующих документов:</w:t>
      </w:r>
    </w:p>
    <w:bookmarkEnd w:id="146"/>
    <w:bookmarkStart w:name="z178" w:id="147"/>
    <w:p>
      <w:pPr>
        <w:spacing w:after="0"/>
        <w:ind w:left="0"/>
        <w:jc w:val="both"/>
      </w:pPr>
      <w:r>
        <w:rPr>
          <w:rFonts w:ascii="Times New Roman"/>
          <w:b w:val="false"/>
          <w:i w:val="false"/>
          <w:color w:val="000000"/>
          <w:sz w:val="28"/>
        </w:rPr>
        <w:t>
      1) приказ залогодержателя на регистрацию уступки прав требования по ценным бумагам (правам требования по обязательствам эмитента по эмиссионным ценным бумагам);</w:t>
      </w:r>
    </w:p>
    <w:bookmarkEnd w:id="147"/>
    <w:bookmarkStart w:name="z179" w:id="148"/>
    <w:p>
      <w:pPr>
        <w:spacing w:after="0"/>
        <w:ind w:left="0"/>
        <w:jc w:val="both"/>
      </w:pPr>
      <w:r>
        <w:rPr>
          <w:rFonts w:ascii="Times New Roman"/>
          <w:b w:val="false"/>
          <w:i w:val="false"/>
          <w:color w:val="000000"/>
          <w:sz w:val="28"/>
        </w:rPr>
        <w:t>
      2) приказ нового залогодержателя на регистрацию уступки прав требования по ценным бумагам (правам требования по обязательствам эмитента по эмиссионным ценным бумагам);</w:t>
      </w:r>
    </w:p>
    <w:bookmarkEnd w:id="148"/>
    <w:bookmarkStart w:name="z180" w:id="149"/>
    <w:p>
      <w:pPr>
        <w:spacing w:after="0"/>
        <w:ind w:left="0"/>
        <w:jc w:val="both"/>
      </w:pPr>
      <w:r>
        <w:rPr>
          <w:rFonts w:ascii="Times New Roman"/>
          <w:b w:val="false"/>
          <w:i w:val="false"/>
          <w:color w:val="000000"/>
          <w:sz w:val="28"/>
        </w:rPr>
        <w:t>
      3) копия документа, подтверждающего передачу прав требования по заложенным ценным бумагам (прав требования по обязательствам эмитента по эмиссионным ценным бумагам) новому залогодержателю;</w:t>
      </w:r>
    </w:p>
    <w:bookmarkEnd w:id="149"/>
    <w:bookmarkStart w:name="z181" w:id="150"/>
    <w:p>
      <w:pPr>
        <w:spacing w:after="0"/>
        <w:ind w:left="0"/>
        <w:jc w:val="both"/>
      </w:pPr>
      <w:r>
        <w:rPr>
          <w:rFonts w:ascii="Times New Roman"/>
          <w:b w:val="false"/>
          <w:i w:val="false"/>
          <w:color w:val="000000"/>
          <w:sz w:val="28"/>
        </w:rPr>
        <w:t>
      4) согласие залогодателя на переход прав требования по заложенным ценным бумагам (прав требования по обязательствам эмитента по эмиссионным ценным бумагам), предоставленное в бумажном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 если наличие такого согласия предусмотрено законодательными актами Республики Казахстан или договором залога.";</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183" w:id="151"/>
    <w:p>
      <w:pPr>
        <w:spacing w:after="0"/>
        <w:ind w:left="0"/>
        <w:jc w:val="both"/>
      </w:pPr>
      <w:r>
        <w:rPr>
          <w:rFonts w:ascii="Times New Roman"/>
          <w:b w:val="false"/>
          <w:i w:val="false"/>
          <w:color w:val="000000"/>
          <w:sz w:val="28"/>
        </w:rPr>
        <w:t>
      "82. Проведение информационной операции осуществляется центральным депозитарием на основании письменного приказа или распоряжения эмитента, приказа зарегистрированного лица, кастодиана паевого инвестиционного фонда или запросов государственных органов, в случаях, предусмотренных законодательством Республики Казахстан о рынке ценных бумаг.</w:t>
      </w:r>
    </w:p>
    <w:bookmarkEnd w:id="151"/>
    <w:bookmarkStart w:name="z184" w:id="152"/>
    <w:p>
      <w:pPr>
        <w:spacing w:after="0"/>
        <w:ind w:left="0"/>
        <w:jc w:val="both"/>
      </w:pPr>
      <w:r>
        <w:rPr>
          <w:rFonts w:ascii="Times New Roman"/>
          <w:b w:val="false"/>
          <w:i w:val="false"/>
          <w:color w:val="000000"/>
          <w:sz w:val="28"/>
        </w:rPr>
        <w:t>
      В случаях, предусмотренных сводом правил центрального депозитария, распоряжение эмитента, приказ зарегистрированного лица составляются и передаются в форме электронных документов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186" w:id="153"/>
    <w:p>
      <w:pPr>
        <w:spacing w:after="0"/>
        <w:ind w:left="0"/>
        <w:jc w:val="both"/>
      </w:pPr>
      <w:r>
        <w:rPr>
          <w:rFonts w:ascii="Times New Roman"/>
          <w:b w:val="false"/>
          <w:i w:val="false"/>
          <w:color w:val="000000"/>
          <w:sz w:val="28"/>
        </w:rPr>
        <w:t>
      "84. Составление реестра держателей ценных бумаг или списка акционеров для начисления доходов по ценным бумагам, проведения общего собрания акционеров, подготовки справки о держателях, владеющих десятью и более процентами акций, осуществляется центральным депозитарием на начало даты (00 часов 00 минут), указанной в распоряжении эмитента. В иных случаях составление реестра держателей ценных бумаг, списка акционеров и (или) подготовка иной информации из системы реестров осуществляется центральным депозитарием на основании письменного запроса (документа в электронно-цифровой форме) лиц, обладающих правом на получение такой информации в соответствии с законодательством Республики Казахстан о рынке ценных бумаг, на дату и время, указанные в запросе.</w:t>
      </w:r>
    </w:p>
    <w:bookmarkEnd w:id="153"/>
    <w:bookmarkStart w:name="z187" w:id="154"/>
    <w:p>
      <w:pPr>
        <w:spacing w:after="0"/>
        <w:ind w:left="0"/>
        <w:jc w:val="both"/>
      </w:pPr>
      <w:r>
        <w:rPr>
          <w:rFonts w:ascii="Times New Roman"/>
          <w:b w:val="false"/>
          <w:i w:val="false"/>
          <w:color w:val="000000"/>
          <w:sz w:val="28"/>
        </w:rPr>
        <w:t>
      При составлении реестра держателей ценных бумаг, списка акционеров или выписки с лицевого счета, а также при предоставлении иной информации из системы реестров принимается время того часового пояса, в котором расположен головной офис центрального депозитария.";</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189" w:id="155"/>
    <w:p>
      <w:pPr>
        <w:spacing w:after="0"/>
        <w:ind w:left="0"/>
        <w:jc w:val="both"/>
      </w:pPr>
      <w:r>
        <w:rPr>
          <w:rFonts w:ascii="Times New Roman"/>
          <w:b w:val="false"/>
          <w:i w:val="false"/>
          <w:color w:val="000000"/>
          <w:sz w:val="28"/>
        </w:rPr>
        <w:t>
      "94. Выдача реестра держателей ценных бумаг или списка акционеров осуществляется центральным депозитарием в срок не позднее двадцати четырех часов с момента получения от эмитента приказа на выдачу реестра держателей ценных бумаг или списка акционеров при условии, что приказ подается не ранее даты, на которую составляется реестр держателей ценных бумаг или список акционеров.</w:t>
      </w:r>
    </w:p>
    <w:bookmarkEnd w:id="155"/>
    <w:bookmarkStart w:name="z190" w:id="156"/>
    <w:p>
      <w:pPr>
        <w:spacing w:after="0"/>
        <w:ind w:left="0"/>
        <w:jc w:val="both"/>
      </w:pPr>
      <w:r>
        <w:rPr>
          <w:rFonts w:ascii="Times New Roman"/>
          <w:b w:val="false"/>
          <w:i w:val="false"/>
          <w:color w:val="000000"/>
          <w:sz w:val="28"/>
        </w:rPr>
        <w:t xml:space="preserve">
      Если центральный депозитарий направлял номинальным держателям запросы о раскрытии сведений об их клиентах в соответствии с пунктом 52 Правил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октября 2014 года № 210, зарегистрированным в Реестре государственной регистрации нормативных правовых актов под № 9876, выдача реестра держателей ценных бумаг или списка акционеров для проведения общего собрания акционеров или представления иной информации об акционерах, ценные бумаги которых находятся в номинальном держании, осуществляется центральным депозитарием в срок не позднее 15 (пятнадцати) рабочих дней с даты получения приказа эмитента или запроса уполномоченного органа.</w:t>
      </w:r>
    </w:p>
    <w:bookmarkEnd w:id="156"/>
    <w:bookmarkStart w:name="z191" w:id="157"/>
    <w:p>
      <w:pPr>
        <w:spacing w:after="0"/>
        <w:ind w:left="0"/>
        <w:jc w:val="both"/>
      </w:pPr>
      <w:r>
        <w:rPr>
          <w:rFonts w:ascii="Times New Roman"/>
          <w:b w:val="false"/>
          <w:i w:val="false"/>
          <w:color w:val="000000"/>
          <w:sz w:val="28"/>
        </w:rPr>
        <w:t>
      Если в запросе эмитента указана будущая дата формирования списка или реестра или иной информации об акционерах, срок отсчитывается с даты на которую составляется реестр держателей ценных бумаг или список акционеров.";</w:t>
      </w:r>
    </w:p>
    <w:bookmarkEnd w:id="157"/>
    <w:bookmarkStart w:name="z192" w:id="158"/>
    <w:p>
      <w:pPr>
        <w:spacing w:after="0"/>
        <w:ind w:left="0"/>
        <w:jc w:val="both"/>
      </w:pPr>
      <w:r>
        <w:rPr>
          <w:rFonts w:ascii="Times New Roman"/>
          <w:b w:val="false"/>
          <w:i w:val="false"/>
          <w:color w:val="000000"/>
          <w:sz w:val="28"/>
        </w:rPr>
        <w:t>
      дополнить пунктами 99, 100, 101 и 102 следующего содержания:</w:t>
      </w:r>
    </w:p>
    <w:bookmarkEnd w:id="158"/>
    <w:bookmarkStart w:name="z193" w:id="159"/>
    <w:p>
      <w:pPr>
        <w:spacing w:after="0"/>
        <w:ind w:left="0"/>
        <w:jc w:val="both"/>
      </w:pPr>
      <w:r>
        <w:rPr>
          <w:rFonts w:ascii="Times New Roman"/>
          <w:b w:val="false"/>
          <w:i w:val="false"/>
          <w:color w:val="000000"/>
          <w:sz w:val="28"/>
        </w:rPr>
        <w:t>
      "99. Предоставление центральным депозитарием электронных услуг производится в соответствии с процедурами безопасности, установленными сводом правил центрального депозитария и договором, обеспечивающими:</w:t>
      </w:r>
    </w:p>
    <w:bookmarkEnd w:id="159"/>
    <w:bookmarkStart w:name="z194" w:id="160"/>
    <w:p>
      <w:pPr>
        <w:spacing w:after="0"/>
        <w:ind w:left="0"/>
        <w:jc w:val="both"/>
      </w:pPr>
      <w:r>
        <w:rPr>
          <w:rFonts w:ascii="Times New Roman"/>
          <w:b w:val="false"/>
          <w:i w:val="false"/>
          <w:color w:val="000000"/>
          <w:sz w:val="28"/>
        </w:rPr>
        <w:t>
      1) достоверную идентификацию клиента и его право на получение соответствующих электронных услуг;</w:t>
      </w:r>
    </w:p>
    <w:bookmarkEnd w:id="160"/>
    <w:bookmarkStart w:name="z195" w:id="161"/>
    <w:p>
      <w:pPr>
        <w:spacing w:after="0"/>
        <w:ind w:left="0"/>
        <w:jc w:val="both"/>
      </w:pPr>
      <w:r>
        <w:rPr>
          <w:rFonts w:ascii="Times New Roman"/>
          <w:b w:val="false"/>
          <w:i w:val="false"/>
          <w:color w:val="000000"/>
          <w:sz w:val="28"/>
        </w:rPr>
        <w:t>
      2) выявление наличия искажений и (или) изменений в содержании электронных документов, на основании которых клиенту предоставляются электронные услуги;</w:t>
      </w:r>
    </w:p>
    <w:bookmarkEnd w:id="161"/>
    <w:bookmarkStart w:name="z196" w:id="162"/>
    <w:p>
      <w:pPr>
        <w:spacing w:after="0"/>
        <w:ind w:left="0"/>
        <w:jc w:val="both"/>
      </w:pPr>
      <w:r>
        <w:rPr>
          <w:rFonts w:ascii="Times New Roman"/>
          <w:b w:val="false"/>
          <w:i w:val="false"/>
          <w:color w:val="000000"/>
          <w:sz w:val="28"/>
        </w:rPr>
        <w:t>
      3) защиту от несанкционированного доступа к информации, составляющей коммерческую тайну на рынке ценных бумаг, и целостность данной информации;</w:t>
      </w:r>
    </w:p>
    <w:bookmarkEnd w:id="162"/>
    <w:bookmarkStart w:name="z197" w:id="163"/>
    <w:p>
      <w:pPr>
        <w:spacing w:after="0"/>
        <w:ind w:left="0"/>
        <w:jc w:val="both"/>
      </w:pPr>
      <w:r>
        <w:rPr>
          <w:rFonts w:ascii="Times New Roman"/>
          <w:b w:val="false"/>
          <w:i w:val="false"/>
          <w:color w:val="000000"/>
          <w:sz w:val="28"/>
        </w:rPr>
        <w:t>
      4) хранение электронных документов при предоставлении электронных услуг, в том числе подтверждения об отправке и (или) получении сообщений, на основании которых клиенту предоставлены электронные услуги.</w:t>
      </w:r>
    </w:p>
    <w:bookmarkEnd w:id="163"/>
    <w:bookmarkStart w:name="z198" w:id="164"/>
    <w:p>
      <w:pPr>
        <w:spacing w:after="0"/>
        <w:ind w:left="0"/>
        <w:jc w:val="both"/>
      </w:pPr>
      <w:r>
        <w:rPr>
          <w:rFonts w:ascii="Times New Roman"/>
          <w:b w:val="false"/>
          <w:i w:val="false"/>
          <w:color w:val="000000"/>
          <w:sz w:val="28"/>
        </w:rPr>
        <w:t>
      100. Аутентификация клиента производится с использованием электронной цифровой подписи клиента и (или) посредством динамической и (или) биометрической идентификации клиента.</w:t>
      </w:r>
    </w:p>
    <w:bookmarkEnd w:id="164"/>
    <w:bookmarkStart w:name="z199" w:id="165"/>
    <w:p>
      <w:pPr>
        <w:spacing w:after="0"/>
        <w:ind w:left="0"/>
        <w:jc w:val="both"/>
      </w:pPr>
      <w:r>
        <w:rPr>
          <w:rFonts w:ascii="Times New Roman"/>
          <w:b w:val="false"/>
          <w:i w:val="false"/>
          <w:color w:val="000000"/>
          <w:sz w:val="28"/>
        </w:rPr>
        <w:t xml:space="preserve">
      Для входа в личный кабинет и (или) мобильное приложение клиент использует разрешенные средства аутентификации. </w:t>
      </w:r>
    </w:p>
    <w:bookmarkEnd w:id="165"/>
    <w:bookmarkStart w:name="z200" w:id="166"/>
    <w:p>
      <w:pPr>
        <w:spacing w:after="0"/>
        <w:ind w:left="0"/>
        <w:jc w:val="both"/>
      </w:pPr>
      <w:r>
        <w:rPr>
          <w:rFonts w:ascii="Times New Roman"/>
          <w:b w:val="false"/>
          <w:i w:val="false"/>
          <w:color w:val="000000"/>
          <w:sz w:val="28"/>
        </w:rPr>
        <w:t>
      При предоставлении электронных услуг клиенту осуществление операций по лицевому счету и информационных операций производится на основании поручения клиента с использованием электронной цифровой подписи клиента и (или) посредством динамической и (или) биометрической идентификации клиента.</w:t>
      </w:r>
    </w:p>
    <w:bookmarkEnd w:id="166"/>
    <w:bookmarkStart w:name="z201" w:id="167"/>
    <w:p>
      <w:pPr>
        <w:spacing w:after="0"/>
        <w:ind w:left="0"/>
        <w:jc w:val="both"/>
      </w:pPr>
      <w:r>
        <w:rPr>
          <w:rFonts w:ascii="Times New Roman"/>
          <w:b w:val="false"/>
          <w:i w:val="false"/>
          <w:color w:val="000000"/>
          <w:sz w:val="28"/>
        </w:rPr>
        <w:t>
      101. Электронные услуги не предоставляются центральным депозитарием в случае невыполнения клиентом процедур безопасности, установленных сводом правил центрального депозитария.</w:t>
      </w:r>
    </w:p>
    <w:bookmarkEnd w:id="167"/>
    <w:bookmarkStart w:name="z202" w:id="168"/>
    <w:p>
      <w:pPr>
        <w:spacing w:after="0"/>
        <w:ind w:left="0"/>
        <w:jc w:val="both"/>
      </w:pPr>
      <w:r>
        <w:rPr>
          <w:rFonts w:ascii="Times New Roman"/>
          <w:b w:val="false"/>
          <w:i w:val="false"/>
          <w:color w:val="000000"/>
          <w:sz w:val="28"/>
        </w:rPr>
        <w:t>
      102. При обнаружении несанкционированного доступа к информации, составляющей коммерческую тайну на рынке ценных бумаг, и персональным данным клиента, их несанкционированного изменения, осуществления несанкционированных торговых операций, операций по лицевому счету и информационных операций, возникающих при предоставлении электронных услуг, центральный депозитарий незамедлительно принимает все необходимые меры для устранения их причин и уведомляет об этом клиента, не позднее следующего рабочего дня после дня их обнаружения.".</w:t>
      </w:r>
    </w:p>
    <w:bookmarkEnd w:id="168"/>
    <w:bookmarkStart w:name="z203" w:id="169"/>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ноября 2018 года № 307 "Об утверждении Правил осуществления деятельности центрального депозитария" (зарегистрировано в Реестре государственной регистрации нормативных правовых актов под № 17920) следующие изменения и дополнения:</w:t>
      </w:r>
    </w:p>
    <w:bookmarkEnd w:id="169"/>
    <w:bookmarkStart w:name="z204" w:id="1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центрального депозитария, утвержденных указанным постановлением:</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06" w:id="171"/>
    <w:p>
      <w:pPr>
        <w:spacing w:after="0"/>
        <w:ind w:left="0"/>
        <w:jc w:val="both"/>
      </w:pPr>
      <w:r>
        <w:rPr>
          <w:rFonts w:ascii="Times New Roman"/>
          <w:b w:val="false"/>
          <w:i w:val="false"/>
          <w:color w:val="000000"/>
          <w:sz w:val="28"/>
        </w:rPr>
        <w:t>
      "16. В системе учета номинального держания центральный депозитарий открывает лицевые счета следующим юридическим лицам:</w:t>
      </w:r>
    </w:p>
    <w:bookmarkEnd w:id="171"/>
    <w:bookmarkStart w:name="z207" w:id="172"/>
    <w:p>
      <w:pPr>
        <w:spacing w:after="0"/>
        <w:ind w:left="0"/>
        <w:jc w:val="both"/>
      </w:pPr>
      <w:r>
        <w:rPr>
          <w:rFonts w:ascii="Times New Roman"/>
          <w:b w:val="false"/>
          <w:i w:val="false"/>
          <w:color w:val="000000"/>
          <w:sz w:val="28"/>
        </w:rPr>
        <w:t>
      1) обладающим лицензией уполномоченного органа на осуществление кастодиальной деятельности на рынке ценных бумаг;</w:t>
      </w:r>
    </w:p>
    <w:bookmarkEnd w:id="172"/>
    <w:bookmarkStart w:name="z208" w:id="173"/>
    <w:p>
      <w:pPr>
        <w:spacing w:after="0"/>
        <w:ind w:left="0"/>
        <w:jc w:val="both"/>
      </w:pPr>
      <w:r>
        <w:rPr>
          <w:rFonts w:ascii="Times New Roman"/>
          <w:b w:val="false"/>
          <w:i w:val="false"/>
          <w:color w:val="000000"/>
          <w:sz w:val="28"/>
        </w:rPr>
        <w:t>
      2) обладающим лицензией уполномоченного органа на осуществление брокерской деятельности на рынке ценных бумаг;</w:t>
      </w:r>
    </w:p>
    <w:bookmarkEnd w:id="173"/>
    <w:bookmarkStart w:name="z209" w:id="174"/>
    <w:p>
      <w:pPr>
        <w:spacing w:after="0"/>
        <w:ind w:left="0"/>
        <w:jc w:val="both"/>
      </w:pPr>
      <w:r>
        <w:rPr>
          <w:rFonts w:ascii="Times New Roman"/>
          <w:b w:val="false"/>
          <w:i w:val="false"/>
          <w:color w:val="000000"/>
          <w:sz w:val="28"/>
        </w:rPr>
        <w:t>
      3) Национальному Банку Республики Казахстан;</w:t>
      </w:r>
    </w:p>
    <w:bookmarkEnd w:id="174"/>
    <w:bookmarkStart w:name="z210" w:id="175"/>
    <w:p>
      <w:pPr>
        <w:spacing w:after="0"/>
        <w:ind w:left="0"/>
        <w:jc w:val="both"/>
      </w:pPr>
      <w:r>
        <w:rPr>
          <w:rFonts w:ascii="Times New Roman"/>
          <w:b w:val="false"/>
          <w:i w:val="false"/>
          <w:color w:val="000000"/>
          <w:sz w:val="28"/>
        </w:rPr>
        <w:t>
      4) обладающим лицензией уполномоченного органа на осуществление дилерской деятельности на рынке ценных бумаг;</w:t>
      </w:r>
    </w:p>
    <w:bookmarkEnd w:id="175"/>
    <w:bookmarkStart w:name="z211" w:id="176"/>
    <w:p>
      <w:pPr>
        <w:spacing w:after="0"/>
        <w:ind w:left="0"/>
        <w:jc w:val="both"/>
      </w:pPr>
      <w:r>
        <w:rPr>
          <w:rFonts w:ascii="Times New Roman"/>
          <w:b w:val="false"/>
          <w:i w:val="false"/>
          <w:color w:val="000000"/>
          <w:sz w:val="28"/>
        </w:rPr>
        <w:t>
      5) осуществляющим дилерскую деятельность без лицензии в соответствии с законами Республики Казахстан;</w:t>
      </w:r>
    </w:p>
    <w:bookmarkEnd w:id="176"/>
    <w:bookmarkStart w:name="z212" w:id="177"/>
    <w:p>
      <w:pPr>
        <w:spacing w:after="0"/>
        <w:ind w:left="0"/>
        <w:jc w:val="both"/>
      </w:pPr>
      <w:r>
        <w:rPr>
          <w:rFonts w:ascii="Times New Roman"/>
          <w:b w:val="false"/>
          <w:i w:val="false"/>
          <w:color w:val="000000"/>
          <w:sz w:val="28"/>
        </w:rPr>
        <w:t>
      6) иностранным депозитариям и кастодианам;</w:t>
      </w:r>
    </w:p>
    <w:bookmarkEnd w:id="177"/>
    <w:bookmarkStart w:name="z213" w:id="178"/>
    <w:p>
      <w:pPr>
        <w:spacing w:after="0"/>
        <w:ind w:left="0"/>
        <w:jc w:val="both"/>
      </w:pPr>
      <w:r>
        <w:rPr>
          <w:rFonts w:ascii="Times New Roman"/>
          <w:b w:val="false"/>
          <w:i w:val="false"/>
          <w:color w:val="000000"/>
          <w:sz w:val="28"/>
        </w:rPr>
        <w:t xml:space="preserve">
      7) иностранным организациям, обладающим правом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178"/>
    <w:bookmarkStart w:name="z214" w:id="179"/>
    <w:p>
      <w:pPr>
        <w:spacing w:after="0"/>
        <w:ind w:left="0"/>
        <w:jc w:val="both"/>
      </w:pPr>
      <w:r>
        <w:rPr>
          <w:rFonts w:ascii="Times New Roman"/>
          <w:b w:val="false"/>
          <w:i w:val="false"/>
          <w:color w:val="000000"/>
          <w:sz w:val="28"/>
        </w:rPr>
        <w:t>
      8) единому оператору в сфере учета государственного имущества, определенному в соответствии с законодательством Республики Казахстан о государственном имуществе;</w:t>
      </w:r>
    </w:p>
    <w:bookmarkEnd w:id="179"/>
    <w:bookmarkStart w:name="z215" w:id="180"/>
    <w:p>
      <w:pPr>
        <w:spacing w:after="0"/>
        <w:ind w:left="0"/>
        <w:jc w:val="both"/>
      </w:pPr>
      <w:r>
        <w:rPr>
          <w:rFonts w:ascii="Times New Roman"/>
          <w:b w:val="false"/>
          <w:i w:val="false"/>
          <w:color w:val="000000"/>
          <w:sz w:val="28"/>
        </w:rPr>
        <w:t>
      9) организации, осуществляющей регистрацию сделок с ценными бумагами на территории Международного финансового центра "Астана";</w:t>
      </w:r>
    </w:p>
    <w:bookmarkEnd w:id="180"/>
    <w:bookmarkStart w:name="z216" w:id="181"/>
    <w:p>
      <w:pPr>
        <w:spacing w:after="0"/>
        <w:ind w:left="0"/>
        <w:jc w:val="both"/>
      </w:pPr>
      <w:r>
        <w:rPr>
          <w:rFonts w:ascii="Times New Roman"/>
          <w:b w:val="false"/>
          <w:i w:val="false"/>
          <w:color w:val="000000"/>
          <w:sz w:val="28"/>
        </w:rPr>
        <w:t xml:space="preserve">
      9-1) организациям, зарегистрированным на территории Международного финансового центра "Астана" и обладающим правом (лицензией)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181"/>
    <w:bookmarkStart w:name="z217" w:id="182"/>
    <w:p>
      <w:pPr>
        <w:spacing w:after="0"/>
        <w:ind w:left="0"/>
        <w:jc w:val="both"/>
      </w:pPr>
      <w:r>
        <w:rPr>
          <w:rFonts w:ascii="Times New Roman"/>
          <w:b w:val="false"/>
          <w:i w:val="false"/>
          <w:color w:val="000000"/>
          <w:sz w:val="28"/>
        </w:rPr>
        <w:t>
      10) клиринговым организациям.</w:t>
      </w:r>
    </w:p>
    <w:bookmarkEnd w:id="182"/>
    <w:bookmarkStart w:name="z218" w:id="183"/>
    <w:p>
      <w:pPr>
        <w:spacing w:after="0"/>
        <w:ind w:left="0"/>
        <w:jc w:val="both"/>
      </w:pPr>
      <w:r>
        <w:rPr>
          <w:rFonts w:ascii="Times New Roman"/>
          <w:b w:val="false"/>
          <w:i w:val="false"/>
          <w:color w:val="000000"/>
          <w:sz w:val="28"/>
        </w:rPr>
        <w:t>
      В системе учета номинального держания центральный депозитарий вышеуказанным юридическим лицам открывает только один лицевой счет номинального держателя.</w:t>
      </w:r>
    </w:p>
    <w:bookmarkEnd w:id="183"/>
    <w:bookmarkStart w:name="z219" w:id="184"/>
    <w:p>
      <w:pPr>
        <w:spacing w:after="0"/>
        <w:ind w:left="0"/>
        <w:jc w:val="both"/>
      </w:pPr>
      <w:r>
        <w:rPr>
          <w:rFonts w:ascii="Times New Roman"/>
          <w:b w:val="false"/>
          <w:i w:val="false"/>
          <w:color w:val="000000"/>
          <w:sz w:val="28"/>
        </w:rPr>
        <w:t>
      Открытие лицевого счета номинального держателя производится после принятия центральным депозитарием мер по надлежащей проверке клиента, предусмотренных </w:t>
      </w:r>
      <w:r>
        <w:rPr>
          <w:rFonts w:ascii="Times New Roman"/>
          <w:b w:val="false"/>
          <w:i w:val="false"/>
          <w:color w:val="000000"/>
          <w:sz w:val="28"/>
        </w:rPr>
        <w:t>Законом</w:t>
      </w:r>
      <w:r>
        <w:rPr>
          <w:rFonts w:ascii="Times New Roman"/>
          <w:b w:val="false"/>
          <w:i w:val="false"/>
          <w:color w:val="000000"/>
          <w:sz w:val="28"/>
        </w:rPr>
        <w:t>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21" w:id="185"/>
    <w:p>
      <w:pPr>
        <w:spacing w:after="0"/>
        <w:ind w:left="0"/>
        <w:jc w:val="both"/>
      </w:pPr>
      <w:r>
        <w:rPr>
          <w:rFonts w:ascii="Times New Roman"/>
          <w:b w:val="false"/>
          <w:i w:val="false"/>
          <w:color w:val="000000"/>
          <w:sz w:val="28"/>
        </w:rPr>
        <w:t>
      "18. Для обеспечения раздельного учета финансовых инструментов депонентов и их клиентов на лицевом счете депонента открываются в порядке, определенном сводом правил центрального депозитария, следующие субсчета:</w:t>
      </w:r>
    </w:p>
    <w:bookmarkEnd w:id="185"/>
    <w:bookmarkStart w:name="z222" w:id="186"/>
    <w:p>
      <w:pPr>
        <w:spacing w:after="0"/>
        <w:ind w:left="0"/>
        <w:jc w:val="both"/>
      </w:pPr>
      <w:r>
        <w:rPr>
          <w:rFonts w:ascii="Times New Roman"/>
          <w:b w:val="false"/>
          <w:i w:val="false"/>
          <w:color w:val="000000"/>
          <w:sz w:val="28"/>
        </w:rPr>
        <w:t>
      1) субсчет депонента, предназначенный для учета финансовых инструментов, принадлежащих депоненту;</w:t>
      </w:r>
    </w:p>
    <w:bookmarkEnd w:id="186"/>
    <w:bookmarkStart w:name="z223" w:id="187"/>
    <w:p>
      <w:pPr>
        <w:spacing w:after="0"/>
        <w:ind w:left="0"/>
        <w:jc w:val="both"/>
      </w:pPr>
      <w:r>
        <w:rPr>
          <w:rFonts w:ascii="Times New Roman"/>
          <w:b w:val="false"/>
          <w:i w:val="false"/>
          <w:color w:val="000000"/>
          <w:sz w:val="28"/>
        </w:rPr>
        <w:t>
      2) субсчет депонента для учета выкупленных собственных ценных бумаг, предназначенный для учета финансовых инструментов, выкупленных депонентом на вторичном рынке ценных бумаг;</w:t>
      </w:r>
    </w:p>
    <w:bookmarkEnd w:id="187"/>
    <w:bookmarkStart w:name="z224" w:id="188"/>
    <w:p>
      <w:pPr>
        <w:spacing w:after="0"/>
        <w:ind w:left="0"/>
        <w:jc w:val="both"/>
      </w:pPr>
      <w:r>
        <w:rPr>
          <w:rFonts w:ascii="Times New Roman"/>
          <w:b w:val="false"/>
          <w:i w:val="false"/>
          <w:color w:val="000000"/>
          <w:sz w:val="28"/>
        </w:rPr>
        <w:t>
      3) субсчет депонента для учета объявленных ценных бумаг, предназначенный для учета неразмещенных финансовых инструментов данного депонента;</w:t>
      </w:r>
    </w:p>
    <w:bookmarkEnd w:id="188"/>
    <w:bookmarkStart w:name="z225" w:id="189"/>
    <w:p>
      <w:pPr>
        <w:spacing w:after="0"/>
        <w:ind w:left="0"/>
        <w:jc w:val="both"/>
      </w:pPr>
      <w:r>
        <w:rPr>
          <w:rFonts w:ascii="Times New Roman"/>
          <w:b w:val="false"/>
          <w:i w:val="false"/>
          <w:color w:val="000000"/>
          <w:sz w:val="28"/>
        </w:rPr>
        <w:t>
      4) субсчет депонента, предназначенный для агрегированного учета финансовых инструментов, принадлежащих его клиентам;</w:t>
      </w:r>
    </w:p>
    <w:bookmarkEnd w:id="189"/>
    <w:bookmarkStart w:name="z226" w:id="190"/>
    <w:p>
      <w:pPr>
        <w:spacing w:after="0"/>
        <w:ind w:left="0"/>
        <w:jc w:val="both"/>
      </w:pPr>
      <w:r>
        <w:rPr>
          <w:rFonts w:ascii="Times New Roman"/>
          <w:b w:val="false"/>
          <w:i w:val="false"/>
          <w:color w:val="000000"/>
          <w:sz w:val="28"/>
        </w:rPr>
        <w:t>
      5) субсчет клиента депонента, открываемый по уникальному коду клиента депонента, присвоенному центральным депозитарием в соответствии с пунктами 37-1 и 37-2 Правил, и предназначенный для учета финансовых инструментов, принадлежащих данному клиенту депонента;</w:t>
      </w:r>
    </w:p>
    <w:bookmarkEnd w:id="190"/>
    <w:bookmarkStart w:name="z227" w:id="191"/>
    <w:p>
      <w:pPr>
        <w:spacing w:after="0"/>
        <w:ind w:left="0"/>
        <w:jc w:val="both"/>
      </w:pPr>
      <w:r>
        <w:rPr>
          <w:rFonts w:ascii="Times New Roman"/>
          <w:b w:val="false"/>
          <w:i w:val="false"/>
          <w:color w:val="000000"/>
          <w:sz w:val="28"/>
        </w:rPr>
        <w:t>
      6) субсчет клиента, являющегося номинальным держателем, предназначенный для учета финансовых инструментов, переданных ему в номинальное держание.</w:t>
      </w:r>
    </w:p>
    <w:bookmarkEnd w:id="191"/>
    <w:bookmarkStart w:name="z228" w:id="192"/>
    <w:p>
      <w:pPr>
        <w:spacing w:after="0"/>
        <w:ind w:left="0"/>
        <w:jc w:val="both"/>
      </w:pPr>
      <w:r>
        <w:rPr>
          <w:rFonts w:ascii="Times New Roman"/>
          <w:b w:val="false"/>
          <w:i w:val="false"/>
          <w:color w:val="000000"/>
          <w:sz w:val="28"/>
        </w:rPr>
        <w:t>
      Субсчет клиента, являющегося номинальным держателем, открывается:</w:t>
      </w:r>
    </w:p>
    <w:bookmarkEnd w:id="192"/>
    <w:bookmarkStart w:name="z229" w:id="193"/>
    <w:p>
      <w:pPr>
        <w:spacing w:after="0"/>
        <w:ind w:left="0"/>
        <w:jc w:val="both"/>
      </w:pPr>
      <w:r>
        <w:rPr>
          <w:rFonts w:ascii="Times New Roman"/>
          <w:b w:val="false"/>
          <w:i w:val="false"/>
          <w:color w:val="000000"/>
          <w:sz w:val="28"/>
        </w:rPr>
        <w:t xml:space="preserve">
      иностранному депозитарию, иностранному кастодиану или иностранной организации, обладающей правом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 на их лицевом счете для учета финансовых инструментов, принадлежащих их клиентам;</w:t>
      </w:r>
    </w:p>
    <w:bookmarkEnd w:id="193"/>
    <w:bookmarkStart w:name="z230" w:id="194"/>
    <w:p>
      <w:pPr>
        <w:spacing w:after="0"/>
        <w:ind w:left="0"/>
        <w:jc w:val="both"/>
      </w:pPr>
      <w:r>
        <w:rPr>
          <w:rFonts w:ascii="Times New Roman"/>
          <w:b w:val="false"/>
          <w:i w:val="false"/>
          <w:color w:val="000000"/>
          <w:sz w:val="28"/>
        </w:rPr>
        <w:t xml:space="preserve">
      иностранной организации, обладающей правом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 являющемуся клиентом депонента;</w:t>
      </w:r>
    </w:p>
    <w:bookmarkEnd w:id="194"/>
    <w:bookmarkStart w:name="z231" w:id="195"/>
    <w:p>
      <w:pPr>
        <w:spacing w:after="0"/>
        <w:ind w:left="0"/>
        <w:jc w:val="both"/>
      </w:pPr>
      <w:r>
        <w:rPr>
          <w:rFonts w:ascii="Times New Roman"/>
          <w:b w:val="false"/>
          <w:i w:val="false"/>
          <w:color w:val="000000"/>
          <w:sz w:val="28"/>
        </w:rPr>
        <w:t>
      номинальному держателю - резиденту Республики Казахстан, являющемуся клиентом кастодиана, для учета финансовых инструментов, выпущенных в соответствии с законодательством иностранных государств;</w:t>
      </w:r>
    </w:p>
    <w:bookmarkEnd w:id="195"/>
    <w:bookmarkStart w:name="z232" w:id="196"/>
    <w:p>
      <w:pPr>
        <w:spacing w:after="0"/>
        <w:ind w:left="0"/>
        <w:jc w:val="both"/>
      </w:pPr>
      <w:r>
        <w:rPr>
          <w:rFonts w:ascii="Times New Roman"/>
          <w:b w:val="false"/>
          <w:i w:val="false"/>
          <w:color w:val="000000"/>
          <w:sz w:val="28"/>
        </w:rPr>
        <w:t>
      организации, осуществляющей регистрацию сделок с ценными бумагами на территории Международного финансового центра "Астана", для учета финансовых инструментов, находящихся в листинге фондовой биржи, функционирующей на территории Международного финансового центра "Астана";</w:t>
      </w:r>
    </w:p>
    <w:bookmarkEnd w:id="196"/>
    <w:bookmarkStart w:name="z233" w:id="197"/>
    <w:p>
      <w:pPr>
        <w:spacing w:after="0"/>
        <w:ind w:left="0"/>
        <w:jc w:val="both"/>
      </w:pPr>
      <w:r>
        <w:rPr>
          <w:rFonts w:ascii="Times New Roman"/>
          <w:b w:val="false"/>
          <w:i w:val="false"/>
          <w:color w:val="000000"/>
          <w:sz w:val="28"/>
        </w:rPr>
        <w:t xml:space="preserve">
      организации, зарегистрированной на территории Международного финансового центра "Астана" и обладающей правом (лицензией) на осуществление функций, аналогичных функциям,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197"/>
    <w:bookmarkStart w:name="z234" w:id="198"/>
    <w:p>
      <w:pPr>
        <w:spacing w:after="0"/>
        <w:ind w:left="0"/>
        <w:jc w:val="both"/>
      </w:pPr>
      <w:r>
        <w:rPr>
          <w:rFonts w:ascii="Times New Roman"/>
          <w:b w:val="false"/>
          <w:i w:val="false"/>
          <w:color w:val="000000"/>
          <w:sz w:val="28"/>
        </w:rPr>
        <w:t>
      7) субсчет эмитента для учета выкупленных ценных бумаг, предназначенный для учета финансовых инструментов, выкупленных эмитентом на вторичном рынке ценных бумаг;</w:t>
      </w:r>
    </w:p>
    <w:bookmarkEnd w:id="198"/>
    <w:bookmarkStart w:name="z235" w:id="199"/>
    <w:p>
      <w:pPr>
        <w:spacing w:after="0"/>
        <w:ind w:left="0"/>
        <w:jc w:val="both"/>
      </w:pPr>
      <w:r>
        <w:rPr>
          <w:rFonts w:ascii="Times New Roman"/>
          <w:b w:val="false"/>
          <w:i w:val="false"/>
          <w:color w:val="000000"/>
          <w:sz w:val="28"/>
        </w:rPr>
        <w:t>
      8) субсчет эмитента для учета объявленных ценных бумаг, предназначенный для учета неразмещенных финансовых инструментов данного эмитента.";</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18-1</w:t>
      </w:r>
      <w:r>
        <w:rPr>
          <w:rFonts w:ascii="Times New Roman"/>
          <w:b w:val="false"/>
          <w:i w:val="false"/>
          <w:color w:val="000000"/>
          <w:sz w:val="28"/>
        </w:rPr>
        <w:t xml:space="preserve"> и </w:t>
      </w:r>
      <w:r>
        <w:rPr>
          <w:rFonts w:ascii="Times New Roman"/>
          <w:b w:val="false"/>
          <w:i w:val="false"/>
          <w:color w:val="000000"/>
          <w:sz w:val="28"/>
        </w:rPr>
        <w:t>18-2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изложить в следующей редакции:</w:t>
      </w:r>
    </w:p>
    <w:bookmarkStart w:name="z238" w:id="200"/>
    <w:p>
      <w:pPr>
        <w:spacing w:after="0"/>
        <w:ind w:left="0"/>
        <w:jc w:val="both"/>
      </w:pPr>
      <w:r>
        <w:rPr>
          <w:rFonts w:ascii="Times New Roman"/>
          <w:b w:val="false"/>
          <w:i w:val="false"/>
          <w:color w:val="000000"/>
          <w:sz w:val="28"/>
        </w:rPr>
        <w:t>
      "19. При совмещении депонентом центрального депозитария кастодиальной деятельности с брокерской и (или) дилерской деятельностью с правом ведения счетов клиентов в качестве номинального держателя:</w:t>
      </w:r>
    </w:p>
    <w:bookmarkEnd w:id="200"/>
    <w:bookmarkStart w:name="z239" w:id="201"/>
    <w:p>
      <w:pPr>
        <w:spacing w:after="0"/>
        <w:ind w:left="0"/>
        <w:jc w:val="both"/>
      </w:pPr>
      <w:r>
        <w:rPr>
          <w:rFonts w:ascii="Times New Roman"/>
          <w:b w:val="false"/>
          <w:i w:val="false"/>
          <w:color w:val="000000"/>
          <w:sz w:val="28"/>
        </w:rPr>
        <w:t>
      1) субсчета, указанные в подпунктах 4), 5), 6), 7) и 8) пункта 18 Правил, открываются на основании приказа на открытие субсчета, представленного депонентом в соответствии с договором об оказании брокерских услуг с оказанием услуг номинального держания;</w:t>
      </w:r>
    </w:p>
    <w:bookmarkEnd w:id="201"/>
    <w:bookmarkStart w:name="z240" w:id="202"/>
    <w:p>
      <w:pPr>
        <w:spacing w:after="0"/>
        <w:ind w:left="0"/>
        <w:jc w:val="both"/>
      </w:pPr>
      <w:r>
        <w:rPr>
          <w:rFonts w:ascii="Times New Roman"/>
          <w:b w:val="false"/>
          <w:i w:val="false"/>
          <w:color w:val="000000"/>
          <w:sz w:val="28"/>
        </w:rPr>
        <w:t>
      2) субсчета, указанные в подпунктах 5) и 6) пункта 18 Правил, открываются на основании приказа на открытие субсчета, представленного депонентом в соответствии с договором кастодиального обслуживания:</w:t>
      </w:r>
    </w:p>
    <w:bookmarkEnd w:id="202"/>
    <w:bookmarkStart w:name="z241" w:id="203"/>
    <w:p>
      <w:pPr>
        <w:spacing w:after="0"/>
        <w:ind w:left="0"/>
        <w:jc w:val="both"/>
      </w:pPr>
      <w:r>
        <w:rPr>
          <w:rFonts w:ascii="Times New Roman"/>
          <w:b w:val="false"/>
          <w:i w:val="false"/>
          <w:color w:val="000000"/>
          <w:sz w:val="28"/>
        </w:rPr>
        <w:t>
      резидентам Республики Казахстан для учета принадлежащих им финансовых инструментов, переданных на кастодиальное обслуживание;</w:t>
      </w:r>
    </w:p>
    <w:bookmarkEnd w:id="203"/>
    <w:bookmarkStart w:name="z242" w:id="204"/>
    <w:p>
      <w:pPr>
        <w:spacing w:after="0"/>
        <w:ind w:left="0"/>
        <w:jc w:val="both"/>
      </w:pPr>
      <w:r>
        <w:rPr>
          <w:rFonts w:ascii="Times New Roman"/>
          <w:b w:val="false"/>
          <w:i w:val="false"/>
          <w:color w:val="000000"/>
          <w:sz w:val="28"/>
        </w:rPr>
        <w:t>
      номинальным держателям – резидентам Республики Казахстан для учета финансовых инструментов, выпущенных в соответствии с законодательством иностранных государств;</w:t>
      </w:r>
    </w:p>
    <w:bookmarkEnd w:id="204"/>
    <w:bookmarkStart w:name="z243" w:id="205"/>
    <w:p>
      <w:pPr>
        <w:spacing w:after="0"/>
        <w:ind w:left="0"/>
        <w:jc w:val="both"/>
      </w:pPr>
      <w:r>
        <w:rPr>
          <w:rFonts w:ascii="Times New Roman"/>
          <w:b w:val="false"/>
          <w:i w:val="false"/>
          <w:color w:val="000000"/>
          <w:sz w:val="28"/>
        </w:rPr>
        <w:t>
      номинальным держателям – нерезидентам Республики Казахстан.</w:t>
      </w:r>
    </w:p>
    <w:bookmarkEnd w:id="205"/>
    <w:bookmarkStart w:name="z244" w:id="206"/>
    <w:p>
      <w:pPr>
        <w:spacing w:after="0"/>
        <w:ind w:left="0"/>
        <w:jc w:val="both"/>
      </w:pPr>
      <w:r>
        <w:rPr>
          <w:rFonts w:ascii="Times New Roman"/>
          <w:b w:val="false"/>
          <w:i w:val="false"/>
          <w:color w:val="000000"/>
          <w:sz w:val="28"/>
        </w:rPr>
        <w:t xml:space="preserve">
      20. Порядок открытия и ведения лицевых счетов (субсчетов) клиентов центрального депозитария (клиентов депонентов) в системе учета номинального держания устанавливается </w:t>
      </w:r>
      <w:r>
        <w:rPr>
          <w:rFonts w:ascii="Times New Roman"/>
          <w:b w:val="false"/>
          <w:i w:val="false"/>
          <w:color w:val="000000"/>
          <w:sz w:val="28"/>
        </w:rPr>
        <w:t>статьями 36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Закона о рынке ценных бумаг, Правилами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октября 2014 года № 210, зарегистрированным в Реестре государственной регистрации нормативных правовых актов под № 9876 (далее – Правила № 210), Правилами и сводом правил центрального депозитария.</w:t>
      </w:r>
    </w:p>
    <w:bookmarkEnd w:id="206"/>
    <w:bookmarkStart w:name="z245" w:id="207"/>
    <w:p>
      <w:pPr>
        <w:spacing w:after="0"/>
        <w:ind w:left="0"/>
        <w:jc w:val="both"/>
      </w:pPr>
      <w:r>
        <w:rPr>
          <w:rFonts w:ascii="Times New Roman"/>
          <w:b w:val="false"/>
          <w:i w:val="false"/>
          <w:color w:val="000000"/>
          <w:sz w:val="28"/>
        </w:rPr>
        <w:t>
      20-1. Центральный депозитарий в порядке, определенном ЦОИД, кредитным бюро с государственным участием или операторами из государственных баз данных осуществляет в сроки, определенные внутренними правилами центрального депозитария, сверку данных о своих клиентах, содержащихся в системе учета центрального депозитария, с информацией о таких клиентах, получаемой центральным депозитарием из вышеуказанных источников.</w:t>
      </w:r>
    </w:p>
    <w:bookmarkEnd w:id="207"/>
    <w:bookmarkStart w:name="z246" w:id="208"/>
    <w:p>
      <w:pPr>
        <w:spacing w:after="0"/>
        <w:ind w:left="0"/>
        <w:jc w:val="both"/>
      </w:pPr>
      <w:r>
        <w:rPr>
          <w:rFonts w:ascii="Times New Roman"/>
          <w:b w:val="false"/>
          <w:i w:val="false"/>
          <w:color w:val="000000"/>
          <w:sz w:val="28"/>
        </w:rPr>
        <w:t>
      При выявлении по итогам данной сверки расхождения в данных о клиенте центральный депозитарий в порядке, предусмотренном его внутренними документами, определяет наличие данных о клиенте, подлежащих актуализации, и вносит соответствующие изменения в свою систему учета, после чего направляет такому клиенту уведомление в случае обновления его данных на основе информации, полученной с использованием услуг ЦОИД, или кредитного бюро с государственным участием или напрямую из государственных баз данных, в порядке, сроки и способом установленными сводом правил центрального депозитария.";</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249" w:id="209"/>
    <w:p>
      <w:pPr>
        <w:spacing w:after="0"/>
        <w:ind w:left="0"/>
        <w:jc w:val="both"/>
      </w:pPr>
      <w:r>
        <w:rPr>
          <w:rFonts w:ascii="Times New Roman"/>
          <w:b w:val="false"/>
          <w:i w:val="false"/>
          <w:color w:val="000000"/>
          <w:sz w:val="28"/>
        </w:rPr>
        <w:t>
      "27. Учет денег клиентов центрального депозитария, клиентов депонентов, а также учет невостребованных денег осуществляется в центральном депозитарии на забалансовых счетах.</w:t>
      </w:r>
    </w:p>
    <w:bookmarkEnd w:id="209"/>
    <w:bookmarkStart w:name="z250" w:id="210"/>
    <w:p>
      <w:pPr>
        <w:spacing w:after="0"/>
        <w:ind w:left="0"/>
        <w:jc w:val="both"/>
      </w:pPr>
      <w:r>
        <w:rPr>
          <w:rFonts w:ascii="Times New Roman"/>
          <w:b w:val="false"/>
          <w:i w:val="false"/>
          <w:color w:val="000000"/>
          <w:sz w:val="28"/>
        </w:rPr>
        <w:t>
      Учет денег депонента и его клиентов ведется центральным депозитарием раздельно путем открытия двух банковских счетов.";</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28-1</w:t>
      </w:r>
      <w:r>
        <w:rPr>
          <w:rFonts w:ascii="Times New Roman"/>
          <w:b w:val="false"/>
          <w:i w:val="false"/>
          <w:color w:val="000000"/>
          <w:sz w:val="28"/>
        </w:rPr>
        <w:t xml:space="preserve"> изложить в следующей редакции:</w:t>
      </w:r>
    </w:p>
    <w:bookmarkStart w:name="z252" w:id="211"/>
    <w:p>
      <w:pPr>
        <w:spacing w:after="0"/>
        <w:ind w:left="0"/>
        <w:jc w:val="both"/>
      </w:pPr>
      <w:r>
        <w:rPr>
          <w:rFonts w:ascii="Times New Roman"/>
          <w:b w:val="false"/>
          <w:i w:val="false"/>
          <w:color w:val="000000"/>
          <w:sz w:val="28"/>
        </w:rPr>
        <w:t>
      "28-1. Центральный депозитарий в порядке, установленном сводом правил центрального депозитария, осуществляет ежедневный прием и хранение следующих электронных данных из системы учета номинального держателя по субсчету депонента, предназначенному для агрегированного учета финансовых инструментов, принадлежащих клиентам депонента, об:</w:t>
      </w:r>
    </w:p>
    <w:bookmarkEnd w:id="211"/>
    <w:bookmarkStart w:name="z253" w:id="212"/>
    <w:p>
      <w:pPr>
        <w:spacing w:after="0"/>
        <w:ind w:left="0"/>
        <w:jc w:val="both"/>
      </w:pPr>
      <w:r>
        <w:rPr>
          <w:rFonts w:ascii="Times New Roman"/>
          <w:b w:val="false"/>
          <w:i w:val="false"/>
          <w:color w:val="000000"/>
          <w:sz w:val="28"/>
        </w:rPr>
        <w:t>
      остатках финансовых инструментов, числящихся на данном субсчете на начало и на конец отчетного дня;</w:t>
      </w:r>
    </w:p>
    <w:bookmarkEnd w:id="212"/>
    <w:bookmarkStart w:name="z254" w:id="213"/>
    <w:p>
      <w:pPr>
        <w:spacing w:after="0"/>
        <w:ind w:left="0"/>
        <w:jc w:val="both"/>
      </w:pPr>
      <w:r>
        <w:rPr>
          <w:rFonts w:ascii="Times New Roman"/>
          <w:b w:val="false"/>
          <w:i w:val="false"/>
          <w:color w:val="000000"/>
          <w:sz w:val="28"/>
        </w:rPr>
        <w:t>
      операциях с финансовыми инструментами, зарегистрированных по лицевым счетам клиентов номинального держателя и совершенных по данному субсчету в течение отчетного дня.</w:t>
      </w:r>
    </w:p>
    <w:bookmarkEnd w:id="213"/>
    <w:bookmarkStart w:name="z255" w:id="214"/>
    <w:p>
      <w:pPr>
        <w:spacing w:after="0"/>
        <w:ind w:left="0"/>
        <w:jc w:val="both"/>
      </w:pPr>
      <w:r>
        <w:rPr>
          <w:rFonts w:ascii="Times New Roman"/>
          <w:b w:val="false"/>
          <w:i w:val="false"/>
          <w:color w:val="000000"/>
          <w:sz w:val="28"/>
        </w:rPr>
        <w:t xml:space="preserve">
      Центральный депозитарий уведомляет уполномоченный орган о фактах непредставления либо нарушения сроков представления, установленных пунктом 16 </w:t>
      </w:r>
      <w:r>
        <w:rPr>
          <w:rFonts w:ascii="Times New Roman"/>
          <w:b w:val="false"/>
          <w:i w:val="false"/>
          <w:color w:val="000000"/>
          <w:sz w:val="28"/>
        </w:rPr>
        <w:t>Правил № 210</w:t>
      </w:r>
      <w:r>
        <w:rPr>
          <w:rFonts w:ascii="Times New Roman"/>
          <w:b w:val="false"/>
          <w:i w:val="false"/>
          <w:color w:val="000000"/>
          <w:sz w:val="28"/>
        </w:rPr>
        <w:t>, номинальным держателем сведений, указанных в части первой настоящего пункта, не позднее одного рабочего дня, следующего за днем нарушения.";</w:t>
      </w:r>
    </w:p>
    <w:bookmarkEnd w:id="214"/>
    <w:bookmarkStart w:name="z256" w:id="215"/>
    <w:p>
      <w:pPr>
        <w:spacing w:after="0"/>
        <w:ind w:left="0"/>
        <w:jc w:val="both"/>
      </w:pPr>
      <w:r>
        <w:rPr>
          <w:rFonts w:ascii="Times New Roman"/>
          <w:b w:val="false"/>
          <w:i w:val="false"/>
          <w:color w:val="000000"/>
          <w:sz w:val="28"/>
        </w:rPr>
        <w:t>
      дополнить главой 2-1 следующего содержания:</w:t>
      </w:r>
    </w:p>
    <w:bookmarkEnd w:id="215"/>
    <w:bookmarkStart w:name="z257" w:id="216"/>
    <w:p>
      <w:pPr>
        <w:spacing w:after="0"/>
        <w:ind w:left="0"/>
        <w:jc w:val="both"/>
      </w:pPr>
      <w:r>
        <w:rPr>
          <w:rFonts w:ascii="Times New Roman"/>
          <w:b w:val="false"/>
          <w:i w:val="false"/>
          <w:color w:val="000000"/>
          <w:sz w:val="28"/>
        </w:rPr>
        <w:t>
      "Глава 2.1. Присвоение уникальных кодов клиентам центрального депозитария и клиентам депонентов</w:t>
      </w:r>
    </w:p>
    <w:bookmarkEnd w:id="216"/>
    <w:bookmarkStart w:name="z258" w:id="217"/>
    <w:p>
      <w:pPr>
        <w:spacing w:after="0"/>
        <w:ind w:left="0"/>
        <w:jc w:val="both"/>
      </w:pPr>
      <w:r>
        <w:rPr>
          <w:rFonts w:ascii="Times New Roman"/>
          <w:b w:val="false"/>
          <w:i w:val="false"/>
          <w:color w:val="000000"/>
          <w:sz w:val="28"/>
        </w:rPr>
        <w:t>
      37-1. Порядок присвоения уникальных кодов клиентам депонентов, в том числе клиентам депонентов, обслуживаемых в рамках субсчета депонента для агрегированного учета финансовых инструментов, принадлежащих его клиентам, а также клиентам центрального депозитария устанавливается сводом правил центрального депозитария.</w:t>
      </w:r>
    </w:p>
    <w:bookmarkEnd w:id="217"/>
    <w:bookmarkStart w:name="z259" w:id="218"/>
    <w:p>
      <w:pPr>
        <w:spacing w:after="0"/>
        <w:ind w:left="0"/>
        <w:jc w:val="both"/>
      </w:pPr>
      <w:r>
        <w:rPr>
          <w:rFonts w:ascii="Times New Roman"/>
          <w:b w:val="false"/>
          <w:i w:val="false"/>
          <w:color w:val="000000"/>
          <w:sz w:val="28"/>
        </w:rPr>
        <w:t>
      37-2. Центральный депозитарий в порядке, установленном сводом правил центрального депозитария, осуществляет присвоение уникального кода клиенту депонента на основании представленных депонентом сведений о (об):</w:t>
      </w:r>
    </w:p>
    <w:bookmarkEnd w:id="218"/>
    <w:bookmarkStart w:name="z260" w:id="219"/>
    <w:p>
      <w:pPr>
        <w:spacing w:after="0"/>
        <w:ind w:left="0"/>
        <w:jc w:val="both"/>
      </w:pPr>
      <w:r>
        <w:rPr>
          <w:rFonts w:ascii="Times New Roman"/>
          <w:b w:val="false"/>
          <w:i w:val="false"/>
          <w:color w:val="000000"/>
          <w:sz w:val="28"/>
        </w:rPr>
        <w:t>
      индивидуальном идентификационном номере клиента депонента физического лица – резидента Республики Казахстан;</w:t>
      </w:r>
    </w:p>
    <w:bookmarkEnd w:id="219"/>
    <w:bookmarkStart w:name="z261" w:id="220"/>
    <w:p>
      <w:pPr>
        <w:spacing w:after="0"/>
        <w:ind w:left="0"/>
        <w:jc w:val="both"/>
      </w:pPr>
      <w:r>
        <w:rPr>
          <w:rFonts w:ascii="Times New Roman"/>
          <w:b w:val="false"/>
          <w:i w:val="false"/>
          <w:color w:val="000000"/>
          <w:sz w:val="28"/>
        </w:rPr>
        <w:t>
      бизнес идентификационном номере клиента депонента юридического лица – резидента Республики Казахстан или зарегистрированного на территории Международного финансового центра "Астана";</w:t>
      </w:r>
    </w:p>
    <w:bookmarkEnd w:id="220"/>
    <w:bookmarkStart w:name="z262" w:id="221"/>
    <w:p>
      <w:pPr>
        <w:spacing w:after="0"/>
        <w:ind w:left="0"/>
        <w:jc w:val="both"/>
      </w:pPr>
      <w:r>
        <w:rPr>
          <w:rFonts w:ascii="Times New Roman"/>
          <w:b w:val="false"/>
          <w:i w:val="false"/>
          <w:color w:val="000000"/>
          <w:sz w:val="28"/>
        </w:rPr>
        <w:t>
      документе, удостоверяющем личность клиента депонента физического лица – нерезидента Республики Казахстан;</w:t>
      </w:r>
    </w:p>
    <w:bookmarkEnd w:id="221"/>
    <w:bookmarkStart w:name="z263" w:id="222"/>
    <w:p>
      <w:pPr>
        <w:spacing w:after="0"/>
        <w:ind w:left="0"/>
        <w:jc w:val="both"/>
      </w:pPr>
      <w:r>
        <w:rPr>
          <w:rFonts w:ascii="Times New Roman"/>
          <w:b w:val="false"/>
          <w:i w:val="false"/>
          <w:color w:val="000000"/>
          <w:sz w:val="28"/>
        </w:rPr>
        <w:t>
      документе, подтверждающем регистрацию клиента депонента юридического лица – нерезидента Республики Казахстан.</w:t>
      </w:r>
    </w:p>
    <w:bookmarkEnd w:id="222"/>
    <w:bookmarkStart w:name="z264" w:id="223"/>
    <w:p>
      <w:pPr>
        <w:spacing w:after="0"/>
        <w:ind w:left="0"/>
        <w:jc w:val="both"/>
      </w:pPr>
      <w:r>
        <w:rPr>
          <w:rFonts w:ascii="Times New Roman"/>
          <w:b w:val="false"/>
          <w:i w:val="false"/>
          <w:color w:val="000000"/>
          <w:sz w:val="28"/>
        </w:rPr>
        <w:t>
      37-3. Центральный депозитарий в порядке и сроки, установленные сводом правил центрального депозитария, направляет депоненту и организатору торгов информацию о присвоенном клиенту депонента уникальном коде.</w:t>
      </w:r>
    </w:p>
    <w:bookmarkEnd w:id="223"/>
    <w:bookmarkStart w:name="z265" w:id="224"/>
    <w:p>
      <w:pPr>
        <w:spacing w:after="0"/>
        <w:ind w:left="0"/>
        <w:jc w:val="both"/>
      </w:pPr>
      <w:r>
        <w:rPr>
          <w:rFonts w:ascii="Times New Roman"/>
          <w:b w:val="false"/>
          <w:i w:val="false"/>
          <w:color w:val="000000"/>
          <w:sz w:val="28"/>
        </w:rPr>
        <w:t>
      37-4. В реестре держателей ценных бумаг (списке акционеров) эмитента по клиенту депонента, которому открыт субсчет в системе учета номинального держания центрального депозитария по его уникальному коду и (или) обслуживаемому в рамках субсчета депонента для агрегированного учета финансовых инструментов, указывается как клиент определенного номинального держателя с указанием сведений, на основании которых этому клиенту депонента был присвоен уникальный код.";</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267" w:id="225"/>
    <w:p>
      <w:pPr>
        <w:spacing w:after="0"/>
        <w:ind w:left="0"/>
        <w:jc w:val="both"/>
      </w:pPr>
      <w:r>
        <w:rPr>
          <w:rFonts w:ascii="Times New Roman"/>
          <w:b w:val="false"/>
          <w:i w:val="false"/>
          <w:color w:val="000000"/>
          <w:sz w:val="28"/>
        </w:rPr>
        <w:t xml:space="preserve">
      "39. Центральный депозитарий заключает с клиентами,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78 Закона о рынке ценных бумаг, договоры депозитарного обслуживания и (или) договоры банковского счета. Договоры заключаются в письменной форме.</w:t>
      </w:r>
    </w:p>
    <w:bookmarkEnd w:id="225"/>
    <w:bookmarkStart w:name="z268" w:id="226"/>
    <w:p>
      <w:pPr>
        <w:spacing w:after="0"/>
        <w:ind w:left="0"/>
        <w:jc w:val="both"/>
      </w:pPr>
      <w:r>
        <w:rPr>
          <w:rFonts w:ascii="Times New Roman"/>
          <w:b w:val="false"/>
          <w:i w:val="false"/>
          <w:color w:val="000000"/>
          <w:sz w:val="28"/>
        </w:rPr>
        <w:t xml:space="preserve">
      При оказании центральным депозитарием услуг номинального держания ценных бумаг договор депозитарного обслуживания содержит нормы договора о номинальном держании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Закона о рынке ценных бумаг.</w:t>
      </w:r>
    </w:p>
    <w:bookmarkEnd w:id="226"/>
    <w:bookmarkStart w:name="z269" w:id="227"/>
    <w:p>
      <w:pPr>
        <w:spacing w:after="0"/>
        <w:ind w:left="0"/>
        <w:jc w:val="both"/>
      </w:pPr>
      <w:r>
        <w:rPr>
          <w:rFonts w:ascii="Times New Roman"/>
          <w:b w:val="false"/>
          <w:i w:val="false"/>
          <w:color w:val="000000"/>
          <w:sz w:val="28"/>
        </w:rPr>
        <w:t xml:space="preserve">
      Условия и порядок заключения договора банковского счета устанавливаются </w:t>
      </w:r>
      <w:r>
        <w:rPr>
          <w:rFonts w:ascii="Times New Roman"/>
          <w:b w:val="false"/>
          <w:i w:val="false"/>
          <w:color w:val="000000"/>
          <w:sz w:val="28"/>
        </w:rPr>
        <w:t>Правилами</w:t>
      </w:r>
      <w:r>
        <w:rPr>
          <w:rFonts w:ascii="Times New Roman"/>
          <w:b w:val="false"/>
          <w:i w:val="false"/>
          <w:color w:val="000000"/>
          <w:sz w:val="28"/>
        </w:rPr>
        <w:t xml:space="preserve"> открытия, ведения и закрытия банковских счетов клиентов, утвержденными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 и сводом правил центрального депозитария.</w:t>
      </w:r>
    </w:p>
    <w:bookmarkEnd w:id="227"/>
    <w:bookmarkStart w:name="z270" w:id="228"/>
    <w:p>
      <w:pPr>
        <w:spacing w:after="0"/>
        <w:ind w:left="0"/>
        <w:jc w:val="both"/>
      </w:pPr>
      <w:r>
        <w:rPr>
          <w:rFonts w:ascii="Times New Roman"/>
          <w:b w:val="false"/>
          <w:i w:val="false"/>
          <w:color w:val="000000"/>
          <w:sz w:val="28"/>
        </w:rPr>
        <w:t xml:space="preserve">
      40. Открытие и ведение корреспондентских счетов банков, филиалов банков-нерезидентов Республики Казахстан и организаций, осуществляющих отдельные виды банковских операций, а также переводные операции по выполнению поручений физических и юридических лиц по платежам и переводам денег осуществляются центральным депозитарием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Правилами установления корреспондентских отношений между банками, филиалами банков-нерезидентов Республики Казахстан, а также банками, филиалами банков-нерезидентов Республики Казахстан и организациями, осуществляющими отдельные виды банковских операций,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210, зарегистрированным в Реестре государственной регистрации нормативных правовых актов под № 14335, и сводом правил центрального депозитария.";</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40-8</w:t>
      </w:r>
      <w:r>
        <w:rPr>
          <w:rFonts w:ascii="Times New Roman"/>
          <w:b w:val="false"/>
          <w:i w:val="false"/>
          <w:color w:val="000000"/>
          <w:sz w:val="28"/>
        </w:rPr>
        <w:t xml:space="preserve"> и </w:t>
      </w:r>
      <w:r>
        <w:rPr>
          <w:rFonts w:ascii="Times New Roman"/>
          <w:b w:val="false"/>
          <w:i w:val="false"/>
          <w:color w:val="000000"/>
          <w:sz w:val="28"/>
        </w:rPr>
        <w:t>40-9</w:t>
      </w:r>
      <w:r>
        <w:rPr>
          <w:rFonts w:ascii="Times New Roman"/>
          <w:b w:val="false"/>
          <w:i w:val="false"/>
          <w:color w:val="000000"/>
          <w:sz w:val="28"/>
        </w:rPr>
        <w:t xml:space="preserve"> изложить в следующей редакции:</w:t>
      </w:r>
    </w:p>
    <w:bookmarkStart w:name="z272" w:id="229"/>
    <w:p>
      <w:pPr>
        <w:spacing w:after="0"/>
        <w:ind w:left="0"/>
        <w:jc w:val="both"/>
      </w:pPr>
      <w:r>
        <w:rPr>
          <w:rFonts w:ascii="Times New Roman"/>
          <w:b w:val="false"/>
          <w:i w:val="false"/>
          <w:color w:val="000000"/>
          <w:sz w:val="28"/>
        </w:rPr>
        <w:t>
      "40-8. Сведения о реквизитах лица, которому не выплачены дивиденды ввиду отсутствия сведений о его актуальных реквизитах у общества или в системе реестров держателей ценных бумаг, актуализируются центральным депозитарием на основе обращения самого лица, не позднее операционного дня следующего за днем получения обращения.</w:t>
      </w:r>
    </w:p>
    <w:bookmarkEnd w:id="229"/>
    <w:bookmarkStart w:name="z273" w:id="230"/>
    <w:p>
      <w:pPr>
        <w:spacing w:after="0"/>
        <w:ind w:left="0"/>
        <w:jc w:val="both"/>
      </w:pPr>
      <w:r>
        <w:rPr>
          <w:rFonts w:ascii="Times New Roman"/>
          <w:b w:val="false"/>
          <w:i w:val="false"/>
          <w:color w:val="000000"/>
          <w:sz w:val="28"/>
        </w:rPr>
        <w:t>
      После актуализации реквизитов лица, которому не выплачены дивиденды ввиду отсутствия сведений о его актуальных реквизитах у общества или в системе реестров держателей ценных бумаг, дивиденды, причитающиеся данному лицу, перечисляются центральным депозитарием на его банковский счет в течение 10 (десяти) календарных дней со дня актуализации реквизитов.</w:t>
      </w:r>
    </w:p>
    <w:bookmarkEnd w:id="230"/>
    <w:bookmarkStart w:name="z274" w:id="231"/>
    <w:p>
      <w:pPr>
        <w:spacing w:after="0"/>
        <w:ind w:left="0"/>
        <w:jc w:val="both"/>
      </w:pPr>
      <w:r>
        <w:rPr>
          <w:rFonts w:ascii="Times New Roman"/>
          <w:b w:val="false"/>
          <w:i w:val="false"/>
          <w:color w:val="000000"/>
          <w:sz w:val="28"/>
        </w:rPr>
        <w:t>
      Центральный депозитарий после осуществления операций, указанных в части второй настоящего пункта вносит соответствующие записи по счету для учета невостребованных денег, открытому в системе учета центрального депозитария, а также направляет лицу, указанному в части первой настоящего пункта или номинальному держателю, клиентом которого является данное лицо, и (или) обществу, акционером которого является данное лицо, отчет о проведенной операции, в порядке предусмотренном внутренними документами центрального депозитария.</w:t>
      </w:r>
    </w:p>
    <w:bookmarkEnd w:id="231"/>
    <w:bookmarkStart w:name="z275" w:id="232"/>
    <w:p>
      <w:pPr>
        <w:spacing w:after="0"/>
        <w:ind w:left="0"/>
        <w:jc w:val="both"/>
      </w:pPr>
      <w:r>
        <w:rPr>
          <w:rFonts w:ascii="Times New Roman"/>
          <w:b w:val="false"/>
          <w:i w:val="false"/>
          <w:color w:val="000000"/>
          <w:sz w:val="28"/>
        </w:rPr>
        <w:t xml:space="preserve">
      40-9. Лицо, у которого крупным акционером выкуплены акции общества согласно </w:t>
      </w:r>
      <w:r>
        <w:rPr>
          <w:rFonts w:ascii="Times New Roman"/>
          <w:b w:val="false"/>
          <w:i w:val="false"/>
          <w:color w:val="000000"/>
          <w:sz w:val="28"/>
        </w:rPr>
        <w:t>статье 25-1</w:t>
      </w:r>
      <w:r>
        <w:rPr>
          <w:rFonts w:ascii="Times New Roman"/>
          <w:b w:val="false"/>
          <w:i w:val="false"/>
          <w:color w:val="000000"/>
          <w:sz w:val="28"/>
        </w:rPr>
        <w:t xml:space="preserve"> Закона об акционерных обществах, или номинальный держатель данного лица обращаются в любое время в центральный депозитарий за выплатой указанному лицу принадлежащих ему денег в порядке, предусмотренном внутренним документом центрального депозитария.".</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рынка ценных бумаг, в которые</w:t>
            </w:r>
            <w:r>
              <w:br/>
            </w:r>
            <w:r>
              <w:rPr>
                <w:rFonts w:ascii="Times New Roman"/>
                <w:b w:val="false"/>
                <w:i w:val="false"/>
                <w:color w:val="000000"/>
                <w:sz w:val="20"/>
              </w:rPr>
              <w:t>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и внутреннего контроля для</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брокерскую и дилерскую</w:t>
            </w:r>
            <w:r>
              <w:br/>
            </w:r>
            <w:r>
              <w:rPr>
                <w:rFonts w:ascii="Times New Roman"/>
                <w:b w:val="false"/>
                <w:i w:val="false"/>
                <w:color w:val="000000"/>
                <w:sz w:val="20"/>
              </w:rPr>
              <w:t>деятельность на рынке ценных</w:t>
            </w:r>
            <w:r>
              <w:br/>
            </w:r>
            <w:r>
              <w:rPr>
                <w:rFonts w:ascii="Times New Roman"/>
                <w:b w:val="false"/>
                <w:i w:val="false"/>
                <w:color w:val="000000"/>
                <w:sz w:val="20"/>
              </w:rPr>
              <w:t>бумаг, деятельность</w:t>
            </w:r>
            <w:r>
              <w:br/>
            </w:r>
            <w:r>
              <w:rPr>
                <w:rFonts w:ascii="Times New Roman"/>
                <w:b w:val="false"/>
                <w:i w:val="false"/>
                <w:color w:val="000000"/>
                <w:sz w:val="20"/>
              </w:rPr>
              <w:t>по управлению инвестиционным портфелем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Расшифровка максимального</w:t>
            </w:r>
            <w:r>
              <w:br/>
            </w:r>
            <w:r>
              <w:rPr>
                <w:rFonts w:ascii="Times New Roman"/>
                <w:b w:val="false"/>
                <w:i w:val="false"/>
                <w:color w:val="000000"/>
                <w:sz w:val="20"/>
              </w:rPr>
              <w:t>риска на одного клиента</w:t>
            </w:r>
            <w:r>
              <w:br/>
            </w:r>
            <w:r>
              <w:rPr>
                <w:rFonts w:ascii="Times New Roman"/>
                <w:b w:val="false"/>
                <w:i w:val="false"/>
                <w:color w:val="000000"/>
                <w:sz w:val="20"/>
              </w:rPr>
              <w:t>(в разрезе клиентов)</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брокера и (или)</w:t>
            </w:r>
            <w:r>
              <w:br/>
            </w:r>
            <w:r>
              <w:rPr>
                <w:rFonts w:ascii="Times New Roman"/>
                <w:b w:val="false"/>
                <w:i w:val="false"/>
                <w:color w:val="000000"/>
                <w:sz w:val="20"/>
              </w:rPr>
              <w:t>дилера или Управляющего,</w:t>
            </w:r>
            <w:r>
              <w:br/>
            </w:r>
            <w:r>
              <w:rPr>
                <w:rFonts w:ascii="Times New Roman"/>
                <w:b w:val="false"/>
                <w:i w:val="false"/>
                <w:color w:val="000000"/>
                <w:sz w:val="20"/>
              </w:rPr>
              <w:t>являющегося брокером</w:t>
            </w:r>
            <w:r>
              <w:br/>
            </w:r>
            <w:r>
              <w:rPr>
                <w:rFonts w:ascii="Times New Roman"/>
                <w:b w:val="false"/>
                <w:i w:val="false"/>
                <w:color w:val="000000"/>
                <w:sz w:val="20"/>
              </w:rPr>
              <w:t>и (или) дилером)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3"/>
          <w:p>
            <w:pPr>
              <w:spacing w:after="20"/>
              <w:ind w:left="20"/>
              <w:jc w:val="both"/>
            </w:pPr>
            <w:r>
              <w:rPr>
                <w:rFonts w:ascii="Times New Roman"/>
                <w:b w:val="false"/>
                <w:i w:val="false"/>
                <w:color w:val="000000"/>
                <w:sz w:val="20"/>
              </w:rPr>
              <w:t>
№</w:t>
            </w:r>
          </w:p>
          <w:bookmarkEnd w:id="233"/>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субсчета, открытого в системе учета центрального депозитария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надежности (платежеспособности)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объема поданных клиентами заявок, в тенге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 рассчитанных сделок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денег, находящихся на банковском счете брокера и (или) дилера (кастодиана) или Управляющего, являющегося брокером и (или) дилером, без учета денег, являющихся обеспечением по заключенным маржинальным сделкам,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покупку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продажу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 w:id="234"/>
    <w:p>
      <w:pPr>
        <w:spacing w:after="0"/>
        <w:ind w:left="0"/>
        <w:jc w:val="both"/>
      </w:pPr>
      <w:r>
        <w:rPr>
          <w:rFonts w:ascii="Times New Roman"/>
          <w:b w:val="false"/>
          <w:i w:val="false"/>
          <w:color w:val="000000"/>
          <w:sz w:val="28"/>
        </w:rPr>
        <w:t>
      Продолжение таблицы</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ценных бумаг клиента, находящихся на лицевых счетах (субсчетах) в системе учета номинального держания, без учета ценных бумаг, являющихся обеспечением по заключенным маржинальным сделкам, в штуках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собственного капитала,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размера рисков к размеру собственного капитала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35"/>
    <w:p>
      <w:pPr>
        <w:spacing w:after="0"/>
        <w:ind w:left="0"/>
        <w:jc w:val="both"/>
      </w:pPr>
      <w:r>
        <w:rPr>
          <w:rFonts w:ascii="Times New Roman"/>
          <w:b w:val="false"/>
          <w:i w:val="false"/>
          <w:color w:val="000000"/>
          <w:sz w:val="28"/>
        </w:rPr>
        <w:t>
      Примечание:</w:t>
      </w:r>
    </w:p>
    <w:bookmarkEnd w:id="235"/>
    <w:bookmarkStart w:name="z287" w:id="236"/>
    <w:p>
      <w:pPr>
        <w:spacing w:after="0"/>
        <w:ind w:left="0"/>
        <w:jc w:val="both"/>
      </w:pPr>
      <w:r>
        <w:rPr>
          <w:rFonts w:ascii="Times New Roman"/>
          <w:b w:val="false"/>
          <w:i w:val="false"/>
          <w:color w:val="000000"/>
          <w:sz w:val="28"/>
        </w:rPr>
        <w:t>
      В графе 2 указывается наименование клиента, брокера и (или) дилера или Управляющего, являющегося брокером и (или) дилером, заключившего с ним договор на брокерское обслуживание. Для клиента, являющегося:</w:t>
      </w:r>
    </w:p>
    <w:bookmarkEnd w:id="236"/>
    <w:bookmarkStart w:name="z288" w:id="237"/>
    <w:p>
      <w:pPr>
        <w:spacing w:after="0"/>
        <w:ind w:left="0"/>
        <w:jc w:val="both"/>
      </w:pPr>
      <w:r>
        <w:rPr>
          <w:rFonts w:ascii="Times New Roman"/>
          <w:b w:val="false"/>
          <w:i w:val="false"/>
          <w:color w:val="000000"/>
          <w:sz w:val="28"/>
        </w:rPr>
        <w:t>
      1) юридическим лицом, указывается полное наименование юридического лица;</w:t>
      </w:r>
    </w:p>
    <w:bookmarkEnd w:id="237"/>
    <w:bookmarkStart w:name="z289" w:id="238"/>
    <w:p>
      <w:pPr>
        <w:spacing w:after="0"/>
        <w:ind w:left="0"/>
        <w:jc w:val="both"/>
      </w:pPr>
      <w:r>
        <w:rPr>
          <w:rFonts w:ascii="Times New Roman"/>
          <w:b w:val="false"/>
          <w:i w:val="false"/>
          <w:color w:val="000000"/>
          <w:sz w:val="28"/>
        </w:rPr>
        <w:t>
      2) физическим лицом, полностью указываются фамилия, имя и отчество (при наличии).</w:t>
      </w:r>
    </w:p>
    <w:bookmarkEnd w:id="238"/>
    <w:bookmarkStart w:name="z290" w:id="239"/>
    <w:p>
      <w:pPr>
        <w:spacing w:after="0"/>
        <w:ind w:left="0"/>
        <w:jc w:val="both"/>
      </w:pPr>
      <w:r>
        <w:rPr>
          <w:rFonts w:ascii="Times New Roman"/>
          <w:b w:val="false"/>
          <w:i w:val="false"/>
          <w:color w:val="000000"/>
          <w:sz w:val="28"/>
        </w:rPr>
        <w:t>
      В графе 3 указывается 10-значный номер субсчета клиента открытого в системе учета номинального держания центрального депозитария.</w:t>
      </w:r>
    </w:p>
    <w:bookmarkEnd w:id="239"/>
    <w:bookmarkStart w:name="z291" w:id="240"/>
    <w:p>
      <w:pPr>
        <w:spacing w:after="0"/>
        <w:ind w:left="0"/>
        <w:jc w:val="both"/>
      </w:pPr>
      <w:r>
        <w:rPr>
          <w:rFonts w:ascii="Times New Roman"/>
          <w:b w:val="false"/>
          <w:i w:val="false"/>
          <w:color w:val="000000"/>
          <w:sz w:val="28"/>
        </w:rPr>
        <w:t>
      В графе 4 указывается категория, характеризующая степень надежности (платежеспособности) клиента.</w:t>
      </w:r>
    </w:p>
    <w:bookmarkEnd w:id="240"/>
    <w:bookmarkStart w:name="z292" w:id="241"/>
    <w:p>
      <w:pPr>
        <w:spacing w:after="0"/>
        <w:ind w:left="0"/>
        <w:jc w:val="both"/>
      </w:pPr>
      <w:r>
        <w:rPr>
          <w:rFonts w:ascii="Times New Roman"/>
          <w:b w:val="false"/>
          <w:i w:val="false"/>
          <w:color w:val="000000"/>
          <w:sz w:val="28"/>
        </w:rPr>
        <w:t>
      В графе 5 и 6 указывается объем поданных клиентом активных заявок на покупку и продажу ценных бумаг на организованном и международном (иностранном) рынках ценных бумаг.</w:t>
      </w:r>
    </w:p>
    <w:bookmarkEnd w:id="241"/>
    <w:bookmarkStart w:name="z293" w:id="242"/>
    <w:p>
      <w:pPr>
        <w:spacing w:after="0"/>
        <w:ind w:left="0"/>
        <w:jc w:val="both"/>
      </w:pPr>
      <w:r>
        <w:rPr>
          <w:rFonts w:ascii="Times New Roman"/>
          <w:b w:val="false"/>
          <w:i w:val="false"/>
          <w:color w:val="000000"/>
          <w:sz w:val="28"/>
        </w:rPr>
        <w:t>
      В графе 7 указывается объем заключенных, но не рассчитанных сделок с ценными бумагами на международном (иностранном) рынках ценных бумаг.</w:t>
      </w:r>
    </w:p>
    <w:bookmarkEnd w:id="242"/>
    <w:bookmarkStart w:name="z294" w:id="243"/>
    <w:p>
      <w:pPr>
        <w:spacing w:after="0"/>
        <w:ind w:left="0"/>
        <w:jc w:val="both"/>
      </w:pPr>
      <w:r>
        <w:rPr>
          <w:rFonts w:ascii="Times New Roman"/>
          <w:b w:val="false"/>
          <w:i w:val="false"/>
          <w:color w:val="000000"/>
          <w:sz w:val="28"/>
        </w:rPr>
        <w:t>
      В графе 8 указывается объем денег клиентов брокера и (или) дилера или Управляющего, находящихся на банковском счете брокера и (или) дилера и (или) кастодиана, от имени которых были поданы заявки на покупку ценных бумаг, указанные в графе 5, либо заключены сделки по покупке ценных бумаг, указанные в графе 7, без учета денег, являющихся обеспечением по заключенным маржинальным сделкам.</w:t>
      </w:r>
    </w:p>
    <w:bookmarkEnd w:id="243"/>
    <w:bookmarkStart w:name="z295" w:id="244"/>
    <w:p>
      <w:pPr>
        <w:spacing w:after="0"/>
        <w:ind w:left="0"/>
        <w:jc w:val="both"/>
      </w:pPr>
      <w:r>
        <w:rPr>
          <w:rFonts w:ascii="Times New Roman"/>
          <w:b w:val="false"/>
          <w:i w:val="false"/>
          <w:color w:val="000000"/>
          <w:sz w:val="28"/>
        </w:rPr>
        <w:t>
      В графе 9 указывается количество ценных бумаг, являющихся предметом заявки, указанной в графе 6, либо сделки по продаже ценных бумаг, указанные в графе 7, находящиеся в системе учета номинального держания брокера и (или) дилера и (или) кастодиана, без учета ценных бумаг, являющихся обеспечением по заключенным маржинальным сделкам.</w:t>
      </w:r>
    </w:p>
    <w:bookmarkEnd w:id="244"/>
    <w:bookmarkStart w:name="z296" w:id="245"/>
    <w:p>
      <w:pPr>
        <w:spacing w:after="0"/>
        <w:ind w:left="0"/>
        <w:jc w:val="both"/>
      </w:pPr>
      <w:r>
        <w:rPr>
          <w:rFonts w:ascii="Times New Roman"/>
          <w:b w:val="false"/>
          <w:i w:val="false"/>
          <w:color w:val="000000"/>
          <w:sz w:val="28"/>
        </w:rPr>
        <w:t>
      В графе 10 указывается размер риска, рассчитываемый как сумма значений, указанных в графах 5, 6 и 7, за минусом значений, указанных в графах 8 (вычитание производится только в случае подачи заявки на покупку ценных бумаг, либо заключению сделки по покупке ценных бумаг, в размере, не превышающем сумму значений, указанных в графах 5 и 7) и 9 (вычитание производится только в случае подачи заявки на продажу ценных бумаг, либо заключению сделки по продаже ценных, в размере, не превышающем сумму значений, указанных в графах 6 и 7).</w:t>
      </w:r>
    </w:p>
    <w:bookmarkEnd w:id="245"/>
    <w:bookmarkStart w:name="z297" w:id="246"/>
    <w:p>
      <w:pPr>
        <w:spacing w:after="0"/>
        <w:ind w:left="0"/>
        <w:jc w:val="both"/>
      </w:pPr>
      <w:r>
        <w:rPr>
          <w:rFonts w:ascii="Times New Roman"/>
          <w:b w:val="false"/>
          <w:i w:val="false"/>
          <w:color w:val="000000"/>
          <w:sz w:val="28"/>
        </w:rPr>
        <w:t>
      Для расчетов графы 10, графа 9 (в случаях, когда значение в графе 9, меньше чем сумма значений, указанных в графах 6 и 7) рассматривается в денежном эквиваленте, а именно объем ценных бумаг клиента учитывается по средневзвешенной цене заявок указанных в графе 6, и сделок по продаже ценных бумаг, указанных в графе 7.</w:t>
      </w:r>
    </w:p>
    <w:bookmarkEnd w:id="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