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c3f84" w14:textId="e2c3f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Заместителя Премьер-Министра Республики Казахстан – Министра сельского хозяйства Республики Казахстан от 11 декабря 2018 года № 502 и Министра национальной экономики Республики Казахстан от 11 декабря 2018 года № 101 "Об утверждении критериев оценки степени рисков и проверочных листов в области земельных правоотношений, за использованием и охраной земель, геодезии и картографии, государственного земельного кадастра и мониторинга земель"</w:t>
      </w:r>
    </w:p>
    <w:p>
      <w:pPr>
        <w:spacing w:after="0"/>
        <w:ind w:left="0"/>
        <w:jc w:val="both"/>
      </w:pPr>
      <w:r>
        <w:rPr>
          <w:rFonts w:ascii="Times New Roman"/>
          <w:b w:val="false"/>
          <w:i w:val="false"/>
          <w:color w:val="000000"/>
          <w:sz w:val="28"/>
        </w:rPr>
        <w:t>Совместный приказ Министра сельского хозяйства Республики Казахстан от 1 ноября 2022 года № 357 и и.о. Министра национальной экономики Республики Казахстан от 17 октября 2022 года № 73. Зарегистрирован в Министерстве юстиции Республики Казахстан 7 ноября 2022 года № 30427.</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11 декабря 2018 года № 502 и Министра национальной экономики Республики Казахстан от 11 декабря 2018 года № 101 "Об утверждении критериев оценки степени рисков и проверочных листов в области земельных правоотношений, за использованием и охраной земель, геодезии и картографии, государственного земельного кадастра и мониторинга земель" (зарегистрирован в Реестре государственной регистрации нормативных правовых актов № 18000)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 оценки</w:t>
      </w:r>
      <w:r>
        <w:rPr>
          <w:rFonts w:ascii="Times New Roman"/>
          <w:b w:val="false"/>
          <w:i w:val="false"/>
          <w:color w:val="000000"/>
          <w:sz w:val="28"/>
        </w:rPr>
        <w:t xml:space="preserve"> степени рисков в области земельных правоотношений за законностью принятых решений местных исполнительных органов, утвержденных указанным совместным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2 изложить в следующей редакции:</w:t>
      </w:r>
    </w:p>
    <w:bookmarkStart w:name="z8" w:id="3"/>
    <w:p>
      <w:pPr>
        <w:spacing w:after="0"/>
        <w:ind w:left="0"/>
        <w:jc w:val="both"/>
      </w:pPr>
      <w:r>
        <w:rPr>
          <w:rFonts w:ascii="Times New Roman"/>
          <w:b w:val="false"/>
          <w:i w:val="false"/>
          <w:color w:val="000000"/>
          <w:sz w:val="28"/>
        </w:rPr>
        <w:t>
      "3) значительные нарушения – нарушения требований земельного законодательства, выраженные в несоблюдении установленных сроков рассмотрения ходатайств (заявлений) физических и юридических лиц, принятия решения местными исполнительными органами о предоставлении или об отказе в предоставлении прав на земельные участки, рассмотрения и утверждения землеустроительного проекта, заключения договора купли-продажи или временного возмездного (безвозмездного) землепользования, размещения информации со списками лиц, получивших земельный участок, проведение торгов (аукционов) и конкурсов, а также в несоблюдении требований правил организации и проведения торгов (аукционов) по продаже земельных участков или права аренды земельных участков в электронном виде на веб-портале реестра государственного имущества и перевода сельскохозяйственных угодий из одного вида в другой;";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Start w:name="z11" w:id="4"/>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4"/>
    <w:bookmarkStart w:name="z12" w:id="5"/>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5"/>
    <w:bookmarkStart w:name="z13" w:id="6"/>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сельского хозяйства Республики Казахстан после его официального опубликования.</w:t>
      </w:r>
    </w:p>
    <w:bookmarkEnd w:id="6"/>
    <w:bookmarkStart w:name="z14" w:id="7"/>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сельского хозяйства Республики Казахстан.</w:t>
      </w:r>
    </w:p>
    <w:bookmarkEnd w:id="7"/>
    <w:bookmarkStart w:name="z15" w:id="8"/>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Национальной экономики</w:t>
            </w:r>
          </w:p>
          <w:p>
            <w:pPr>
              <w:spacing w:after="20"/>
              <w:ind w:left="20"/>
              <w:jc w:val="both"/>
            </w:pPr>
            <w:r>
              <w:rPr>
                <w:rFonts w:ascii="Times New Roman"/>
                <w:b w:val="false"/>
                <w:i w:val="false"/>
                <w:color w:val="000000"/>
                <w:sz w:val="20"/>
              </w:rPr>
              <w:t>Республики Казахстан __________Т. Жаксылыков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сельского хозяйства</w:t>
            </w:r>
          </w:p>
          <w:p>
            <w:pPr>
              <w:spacing w:after="20"/>
              <w:ind w:left="20"/>
              <w:jc w:val="both"/>
            </w:pPr>
            <w:r>
              <w:rPr>
                <w:rFonts w:ascii="Times New Roman"/>
                <w:b w:val="false"/>
                <w:i w:val="false"/>
                <w:color w:val="000000"/>
                <w:sz w:val="20"/>
              </w:rPr>
              <w:t>Республики Казахстан       __________Е. Карашукеев</w:t>
            </w:r>
          </w:p>
        </w:tc>
      </w:tr>
    </w:tbl>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Комитет по правовой</w:t>
      </w:r>
    </w:p>
    <w:p>
      <w:pPr>
        <w:spacing w:after="0"/>
        <w:ind w:left="0"/>
        <w:jc w:val="both"/>
      </w:pPr>
      <w:r>
        <w:rPr>
          <w:rFonts w:ascii="Times New Roman"/>
          <w:b w:val="false"/>
          <w:i w:val="false"/>
          <w:color w:val="000000"/>
          <w:sz w:val="28"/>
        </w:rPr>
        <w:t>статистике 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И.о.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2022 года № 73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ноября 2022 года № 357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рисков в области земельных</w:t>
            </w:r>
            <w:r>
              <w:br/>
            </w:r>
            <w:r>
              <w:rPr>
                <w:rFonts w:ascii="Times New Roman"/>
                <w:b w:val="false"/>
                <w:i w:val="false"/>
                <w:color w:val="000000"/>
                <w:sz w:val="20"/>
              </w:rPr>
              <w:t>правоотношений за законностью</w:t>
            </w:r>
            <w:r>
              <w:br/>
            </w:r>
            <w:r>
              <w:rPr>
                <w:rFonts w:ascii="Times New Roman"/>
                <w:b w:val="false"/>
                <w:i w:val="false"/>
                <w:color w:val="000000"/>
                <w:sz w:val="20"/>
              </w:rPr>
              <w:t>принятых решений местных</w:t>
            </w:r>
            <w:r>
              <w:br/>
            </w:r>
            <w:r>
              <w:rPr>
                <w:rFonts w:ascii="Times New Roman"/>
                <w:b w:val="false"/>
                <w:i w:val="false"/>
                <w:color w:val="000000"/>
                <w:sz w:val="20"/>
              </w:rPr>
              <w:t>исполнительных органов</w:t>
            </w:r>
          </w:p>
        </w:tc>
      </w:tr>
    </w:tbl>
    <w:bookmarkStart w:name="z20" w:id="10"/>
    <w:p>
      <w:pPr>
        <w:spacing w:after="0"/>
        <w:ind w:left="0"/>
        <w:jc w:val="left"/>
      </w:pPr>
      <w:r>
        <w:rPr>
          <w:rFonts w:ascii="Times New Roman"/>
          <w:b/>
          <w:i w:val="false"/>
          <w:color w:val="000000"/>
        </w:rPr>
        <w:t xml:space="preserve"> Субъективные критерии оценки степени рисков</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информационному источнику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критериев:)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 изменение целевого назначения земельных участков или права аренды земельных участков в соответствии с генеральными планами, проектами детальной планировки и застройки (при наличии этих проектов) и проектами земельно-хозяйственного устройства территории населенных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на торгах (аукционах) и конкурсах,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заявлений физических или юридических лиц о предоставлении соответствующего права на земельный участок (до пятнадцати рабочих дней с момента поступления заявления, за исключением случаев испрашивания земельных участков для нужд обороны и национальной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на основании положительного заключения земельной комиссии и (или) утвержденного землеустроительного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об отказе в предоставлении прав на земельные участки (в течение трех рабочих дней с даты вынесения отрицательного заключения земельной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на земельный участок (в течение трех рабочих дней с момента поступления утвержденного землеустроительного проекта и положительного заключения земельной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только на земельные участки, которые могут находиться в частной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принудительном отчуждении земельного участка для государственных нужд только в исключительных случаях (международные обязательства, вытекающие из международных договоров, ратифицированных Республикой Казахстан; 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 обнаружение и разработка месторождения полезных ископаемых; 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объектов общего пользования населенных пунктов; удовлетворение нужд населения в пастбищных угодьях для выпаса сельскохозяйственных животных личного подворья; обеспечение потребности населения в земельных участках для индивидуального жилищного строительства в соответствии с генеральным планом или схемой развития и застройки населенных пунктов; исполнение генеральных планов населенных пунктов в части строительства объектов, подпадающих под перечень исключительных случаев, а также строительство объектов, предусмотренных документами Системы государственного планирования Республики Казахстан, за счет бюджетных средств)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бесплатно в частную собственность в пределах установленных норм предоставления земельных участков, а также недопущение повторного бесплатного предоставления земельных участков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для индивидуального жилищного строительства – 0,10 гектара; для садоводства, а также дачного строительства – 0,12 гектара)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Принятие решения о предоставлении права временного безвозмездного землепользования для указанных целей сроком не выше пяти лет (для отгонного животноводства (сезонные пастбища);</w:t>
            </w:r>
          </w:p>
          <w:bookmarkEnd w:id="11"/>
          <w:p>
            <w:pPr>
              <w:spacing w:after="20"/>
              <w:ind w:left="20"/>
              <w:jc w:val="both"/>
            </w:pPr>
            <w:r>
              <w:rPr>
                <w:rFonts w:ascii="Times New Roman"/>
                <w:b w:val="false"/>
                <w:i w:val="false"/>
                <w:color w:val="000000"/>
                <w:sz w:val="20"/>
              </w:rPr>
              <w:t>
</w:t>
            </w:r>
            <w:r>
              <w:rPr>
                <w:rFonts w:ascii="Times New Roman"/>
                <w:b w:val="false"/>
                <w:i w:val="false"/>
                <w:color w:val="000000"/>
                <w:sz w:val="20"/>
              </w:rPr>
              <w:t>для выпаса скота населения и сенокошения;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государственным землепользователям;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ведения огородничества;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виде служебных земельных наделов;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период строительства дорог общего пользования, объектов государственной собственности и социально-культурного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восстановлении деградированных и нарушенных земель;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на срок действия договора государственно-частного партнерства, в том числе договора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w:t>
            </w:r>
          </w:p>
          <w:p>
            <w:pPr>
              <w:spacing w:after="20"/>
              <w:ind w:left="20"/>
              <w:jc w:val="both"/>
            </w:pPr>
            <w:r>
              <w:rPr>
                <w:rFonts w:ascii="Times New Roman"/>
                <w:b w:val="false"/>
                <w:i w:val="false"/>
                <w:color w:val="000000"/>
                <w:sz w:val="20"/>
              </w:rPr>
              <w:t>
для объектов культовых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Непредоставление права частной собственности или землепользование на земли сельскохозяйственного назначения иностранцам и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кандасам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в пределах своей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принятия решения об отказе в предоставлении прав на земельные участки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на земельный участок (в течение пяти рабочих дней со дня подачи землепользователем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 об изменении целевого назначения земельного участка (до тринадцати рабочих дней с момента поступления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утверждение землеустроительного проекта (в течение четырех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наличии земельных участков для строительства индивидуальных жилых домов, специального земельного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предложения о вынесении свободного земельного участка на торги (аукцион) (в течение двадцати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объявления о проведении торгов (аукционов) на веб-портале реестра государственного имущества (не менее чем за пятнадцать календарных дней до проведения торгов)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сельскохозяйственных угодий из одного вида в другой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со списками лиц, получивших земельный участок, с указанием основания предоставления земельного участка, целевого назначения, площади, места расположения, вида права, срока аренды (на специальных информационных стендах в местах, доступных для населения, а также путем опубликования на интернет-ресурсе местного исполнительного органа и интернет-ресурсе уполномоченного органа области, города республиканского значения, столицы, района, города областного значения – ежемесячно,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торгов (аукционов) и конкурсов (не позднее девяноста календарных дней со дня принятия решения об отказе в предоставлении права на земельный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письменного отказа в рассмотрении заявления о предоставлении права на земельный участок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права на земельный участок (в течение двух рабочих дней с момента поступления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и внесение материалов в земельную комиссию (в течение семи рабочих дней с момента поступления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заключения земельной комиссии с момента передачи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предоставление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 (в течение двух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заявителю одного экземпляра положительного заключения земельной комиссии для подготовки им землеустроительного проекта (в течение одного рабочего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акта выбора земельного участка с его ситуационной схемой, архитектурно-планировочного задания, опросного листа для получения технических условий, топографии и направление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Государственной корпорации "Правительство для граждан",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 (в течение семи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согласующими органами соответствующего заключения о возможности предоставления земельного участка по заявленному целевому назначению (в течение двенадцати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заключения об отказе в предоставлении права на земельный участок и направление его заявителю (в течение трех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структурным подразделением местного исполнительного органа, осуществляющим функции в сфере архитектуры и градостроительства, окончательного акта выбора земельного участка с приложением архитектурно-планировочного задания, технических условий на подключение к инженерным сетям и топографии (в течение пяти рабочих дней после поступления положительных заключений)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копии решения, земельно-кадастрового плана в уполномоченный орган области, города республиканского значения, столицы, района, города областного значения для подготовки договора временного землепользования (в течение одного рабочего дня)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акта о выборе земельного участка с последующим направлением в земельную комиссию для рассмотрения и подготовки заключения земельной комиссии с соблюдением срока выбора земельного участка (в течение десяти рабочих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(направление) заявителю копию решения о предоставлении либо об отказе в предоставлении соответствующих прав на земельные участки (в течение пяти рабочих дней с момента принятия решения)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купли-продажи или временного возмездного (безвозмездного) землепользования (не позднее десяти рабочих дней со дня принятия решения о предоставлении права на земельный участок)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И.о. министра Национальной </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2022 года № 73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 ноября 2022 года № 357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2018 года № 502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Министра национальной </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2018 года № 101</w:t>
            </w:r>
          </w:p>
        </w:tc>
      </w:tr>
    </w:tbl>
    <w:bookmarkStart w:name="z34" w:id="12"/>
    <w:p>
      <w:pPr>
        <w:spacing w:after="0"/>
        <w:ind w:left="0"/>
        <w:jc w:val="left"/>
      </w:pPr>
      <w:r>
        <w:rPr>
          <w:rFonts w:ascii="Times New Roman"/>
          <w:b/>
          <w:i w:val="false"/>
          <w:color w:val="000000"/>
        </w:rPr>
        <w:t xml:space="preserve"> Проверочный лист в области земельных правоотношений за законностью принятых решений местных исполнительных органов и акимов городов районного значения, поселков, сел и сельских округов</w:t>
      </w:r>
    </w:p>
    <w:bookmarkEnd w:id="12"/>
    <w:p>
      <w:pPr>
        <w:spacing w:after="0"/>
        <w:ind w:left="0"/>
        <w:jc w:val="both"/>
      </w:pPr>
      <w:bookmarkStart w:name="z35" w:id="13"/>
      <w:r>
        <w:rPr>
          <w:rFonts w:ascii="Times New Roman"/>
          <w:b w:val="false"/>
          <w:i w:val="false"/>
          <w:color w:val="000000"/>
          <w:sz w:val="28"/>
        </w:rPr>
        <w:t>
      ________________________________________________________________________</w:t>
      </w:r>
    </w:p>
    <w:bookmarkEnd w:id="1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138</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в отношении ____________________________________________________________________ </w:t>
      </w:r>
    </w:p>
    <w:p>
      <w:pPr>
        <w:spacing w:after="0"/>
        <w:ind w:left="0"/>
        <w:jc w:val="both"/>
      </w:pPr>
      <w:r>
        <w:rPr>
          <w:rFonts w:ascii="Times New Roman"/>
          <w:b w:val="false"/>
          <w:i w:val="false"/>
          <w:color w:val="000000"/>
          <w:sz w:val="28"/>
        </w:rPr>
        <w:t xml:space="preserve">                   (наименование однородной группы субъектов (объектов) контроля)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Государственный орган, назначивший проверку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Акт о назначении проверки/профилактического контроля с посещением субъекта </w:t>
      </w:r>
    </w:p>
    <w:p>
      <w:pPr>
        <w:spacing w:after="0"/>
        <w:ind w:left="0"/>
        <w:jc w:val="both"/>
      </w:pPr>
      <w:r>
        <w:rPr>
          <w:rFonts w:ascii="Times New Roman"/>
          <w:b w:val="false"/>
          <w:i w:val="false"/>
          <w:color w:val="000000"/>
          <w:sz w:val="28"/>
        </w:rPr>
        <w:t xml:space="preserve">       (объекта) контроля _________________________________________________________</w:t>
      </w:r>
    </w:p>
    <w:p>
      <w:pPr>
        <w:spacing w:after="0"/>
        <w:ind w:left="0"/>
        <w:jc w:val="both"/>
      </w:pPr>
      <w:r>
        <w:rPr>
          <w:rFonts w:ascii="Times New Roman"/>
          <w:b w:val="false"/>
          <w:i w:val="false"/>
          <w:color w:val="000000"/>
          <w:sz w:val="28"/>
        </w:rPr>
        <w:t xml:space="preserve">                                           (№, дата)</w:t>
      </w:r>
    </w:p>
    <w:p>
      <w:pPr>
        <w:spacing w:after="0"/>
        <w:ind w:left="0"/>
        <w:jc w:val="both"/>
      </w:pPr>
      <w:r>
        <w:rPr>
          <w:rFonts w:ascii="Times New Roman"/>
          <w:b w:val="false"/>
          <w:i w:val="false"/>
          <w:color w:val="000000"/>
          <w:sz w:val="28"/>
        </w:rPr>
        <w:t xml:space="preserve">       Наименование субъекта (объекта) контроля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Индивидуальный идентификационный номер, бизнес-идентификационный номер </w:t>
      </w:r>
    </w:p>
    <w:p>
      <w:pPr>
        <w:spacing w:after="0"/>
        <w:ind w:left="0"/>
        <w:jc w:val="both"/>
      </w:pPr>
      <w:r>
        <w:rPr>
          <w:rFonts w:ascii="Times New Roman"/>
          <w:b w:val="false"/>
          <w:i w:val="false"/>
          <w:color w:val="000000"/>
          <w:sz w:val="28"/>
        </w:rPr>
        <w:t xml:space="preserve">       субъекта (объекта) контроля _________________________________________________ </w:t>
      </w:r>
    </w:p>
    <w:p>
      <w:pPr>
        <w:spacing w:after="0"/>
        <w:ind w:left="0"/>
        <w:jc w:val="both"/>
      </w:pPr>
      <w:r>
        <w:rPr>
          <w:rFonts w:ascii="Times New Roman"/>
          <w:b w:val="false"/>
          <w:i w:val="false"/>
          <w:color w:val="000000"/>
          <w:sz w:val="28"/>
        </w:rPr>
        <w:t xml:space="preserve">       Адрес местонахождения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 изменение целевого назначения земельных участков или права аренды земельных участков в соответствии с генеральными планами, проектами детальной планировки и застройки (при наличии этих проектов) и проектами земельно-хозяйственного устройства территории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на торгах (аукционах) и конкурсах,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заявлений физических или юридических лиц о предоставлении соответствующего права на земельный участок (до пятнадцати рабочих дней с момента поступления заявления, за исключением случаев испрашивания земельных участков для нужд обороны и национальной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на основании положительного заключения земельной комиссии и (или) утвержденного землеустроительного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об отказе в предоставлении прав на земельные участки (в течение трех рабочих дней с даты вынесения отрицательного заключения земельной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на земельный участок (в течение трех рабочих дней с момента поступления утвержденного землеустроительного проекта и положительного заключения земельной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только на земельные участки, которые могут находиться в частной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4"/>
          <w:p>
            <w:pPr>
              <w:spacing w:after="20"/>
              <w:ind w:left="20"/>
              <w:jc w:val="both"/>
            </w:pPr>
            <w:r>
              <w:rPr>
                <w:rFonts w:ascii="Times New Roman"/>
                <w:b w:val="false"/>
                <w:i w:val="false"/>
                <w:color w:val="000000"/>
                <w:sz w:val="20"/>
              </w:rPr>
              <w:t>
Принятие решения о принудительном отчуждении земельного участка для государственных нужд только в исключительных случаях (международные обязательства, вытекающие из международных договоров, ратифицированных Республикой Казахстан;</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 обнаружение и разработка месторождения полезных ископаемых;</w:t>
            </w:r>
          </w:p>
          <w:p>
            <w:pPr>
              <w:spacing w:after="20"/>
              <w:ind w:left="20"/>
              <w:jc w:val="both"/>
            </w:pPr>
            <w:r>
              <w:rPr>
                <w:rFonts w:ascii="Times New Roman"/>
                <w:b w:val="false"/>
                <w:i w:val="false"/>
                <w:color w:val="000000"/>
                <w:sz w:val="20"/>
              </w:rPr>
              <w:t>
</w:t>
            </w:r>
            <w:r>
              <w:rPr>
                <w:rFonts w:ascii="Times New Roman"/>
                <w:b w:val="false"/>
                <w:i w:val="false"/>
                <w:color w:val="000000"/>
                <w:sz w:val="20"/>
              </w:rPr>
              <w:t>строительство (реконструкция) автомобильных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объектов общего пользования населенных пунктов; удовлетворение нужд населения в пастбищных угодьях для выпаса сельскохозяйственных животных личного подворья; обеспечение потребности населения в земельных участках для индивидуального жилищного строительства в соответствии с генеральным планом или схемой развития и застройки населенных пунктов;</w:t>
            </w:r>
          </w:p>
          <w:p>
            <w:pPr>
              <w:spacing w:after="20"/>
              <w:ind w:left="20"/>
              <w:jc w:val="both"/>
            </w:pPr>
            <w:r>
              <w:rPr>
                <w:rFonts w:ascii="Times New Roman"/>
                <w:b w:val="false"/>
                <w:i w:val="false"/>
                <w:color w:val="000000"/>
                <w:sz w:val="20"/>
              </w:rPr>
              <w:t>
исполнение генеральных планов населенных пунктов в части строительства объектов, подпадающих под перечень исключительных случаев, а также строительство объектов, предусмотренных документами Системы государственного планирования Республики Казахстан, за счет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земельных участков бесплатно в частную собственность в пределах установленных норм предоставления земельных участков, а также недопущение повторного бесплатного предоставления земельных участков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для индивидуального жилищного строительства – 0,10 гектара; для садоводства, а также дачного строительства – 0,12 гектара)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5"/>
          <w:p>
            <w:pPr>
              <w:spacing w:after="20"/>
              <w:ind w:left="20"/>
              <w:jc w:val="both"/>
            </w:pPr>
            <w:r>
              <w:rPr>
                <w:rFonts w:ascii="Times New Roman"/>
                <w:b w:val="false"/>
                <w:i w:val="false"/>
                <w:color w:val="000000"/>
                <w:sz w:val="20"/>
              </w:rPr>
              <w:t>
Принятие решения о предоставлении права временного безвозмездного землепользования для указанных целей сроком не выше пяти лет (для отгонного животноводства (сезонные пастбища);</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для выпаса скота населения и сенокошения;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государственным землепользователям;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ведения огородничества;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в виде служебных земельных наделов;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период строительства дорог общего пользования, объектов государственной собственности и социально-культурного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восстановлении деградированных и нарушенных земель;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на срок действия договора государственно-частного партнерства, в том числе договора концессии;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w:t>
            </w:r>
          </w:p>
          <w:p>
            <w:pPr>
              <w:spacing w:after="20"/>
              <w:ind w:left="20"/>
              <w:jc w:val="both"/>
            </w:pPr>
            <w:r>
              <w:rPr>
                <w:rFonts w:ascii="Times New Roman"/>
                <w:b w:val="false"/>
                <w:i w:val="false"/>
                <w:color w:val="000000"/>
                <w:sz w:val="20"/>
              </w:rPr>
              <w:t>
для объектов культовых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Непредоставление прав частной собственности или землепользования на земли сельскохозяйственного назначения иностранцам и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кандасам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 на земельные участки в пределах своей компетенции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принятия решения об отказе в предоставлении прав на земельные участки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предоставлении права частной собственности на земельный участок (в течение пяти рабочих дней со дня подачи землепользователем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заявления об изменении целевого назначения земельного участка (до тринадцати рабочих дней с момента поступления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и утверждение землеустроительного проекта (в течение четырех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наличии земельных участков для строительства индивидуальных жилых домов, специального земельного фонда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предложения о вынесении свободного земельного участка на торги (аукцион (в течение двадцати календарных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объявления о проведении торгов (аукционов) на веб-портале реестра государственного имущества (не менее чем за пятнадцать календарных дней до проведения торгов)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сельскохозяйственных угодий из одного вида в другой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информации со списками лиц, получивших земельный участок, с указанием основания предоставления земельного участка, целевого назначения, площади, места расположения, вида права, срока аренды (на специальных информационных стендах в местах, доступных для населения, а также путем опубликования на интернет-ресурсе местного исполнительного органа и интернет-ресурсе уполномоченного органа области, города республиканского значения, столицы, района, города областного значения – ежемесячно,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торгов (аукционов) и конкурсов (не позднее девяноста календарных дней со дня принятия решения об отказе в предоставлении права на земельный участок)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письменного отказа в рассмотрении заявления о предоставлении права на земельный участок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отказе в предоставлении права на земельный участок (в течение двух рабочих дней с момента поступления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 и внесение материалов в земельную комиссию (в течение семи рабочих дней с момента поступления заявления)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заключения земельной комиссии с момента передачи уполномоченным органом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зонированием или предоставление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 (в течение двух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заявителю одного экземпляра положительного заключения земельной комиссии для подготовки им землеустроительного проекта (в течение одного рабочего дня)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акта выбора земельного участка с его ситуационной схемой, архитектурно-планировочного задания, опросного листа для получения технических условий, топографии и направление их на согласование одновременно всем заинтересованным государственным органам, соответствующим службам, субъектам естественных монополий, Государственной корпорации "Правительство для граждан",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органов этих систем (в течение семи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согласующими органами соответствующего заключения о возможности предоставления земельного участка по заявленному целевому назначению (в течение двенадцати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структурным подразделением местного исполнительного органа, осуществляющим функции в сфере архитектуры и градостроительства заключения об отказе в предоставлении права на земельный участок и направление его заявителю (в течение трех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направление структурным подразделением местного исполнительного органа, осуществляющим функции в сфере архитектуры и градостроительства окончательного акта выбора земельного участка с приложением архитектурно-планировочного задания, технических условий на подключение к инженерным сетям и топографии (в течение пяти рабочих дней после поступления положительных заключений)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копии решения, земельно-кадастрового плана в уполномоченный орган области, города республиканского значения, столицы, района, города областного значения для подготовки договора временного землепользования (в течение одного рабочего дня)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акта о выборе земельного участка с последующим направлением в земельную комиссию для рассмотрения и подготовки заключения земельной комиссии с соблюдением срока выбора земельного участка (в течение десяти рабочих дней)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Вручение (направление) заявителю копию решения о предоставлении либо об отказе в предоставлении соответствующих прав на земельные участки (в течение пяти рабочих дней с момента принятия решения)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договора купли-продажи или временного возмездного (безвозмездного) землепользования (не позднее десяти рабочих дней со дня принятия решения о предоставлении права на земельный участок)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 w:id="16"/>
      <w:r>
        <w:rPr>
          <w:rFonts w:ascii="Times New Roman"/>
          <w:b w:val="false"/>
          <w:i w:val="false"/>
          <w:color w:val="000000"/>
          <w:sz w:val="28"/>
        </w:rPr>
        <w:t>
      Должностное (ые) лицо (а) __________________________       ___________</w:t>
      </w:r>
    </w:p>
    <w:bookmarkEnd w:id="16"/>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Руководитель субъекта контроля __________________________       ____________ </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