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6745" w14:textId="dfe6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охранных зон, зон регулирования застройки и зон охраняемого природного ландшафта памятников истории и культуры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февраля 2022 года № 71. Зарегистрировано в Министерстве юстиции Республики Казахстан 24 февраля 2022 года № 26916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апреля 2020 года № 86 "Об утверждении Правил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использования" (зарегистрирован в Реестре государственной регистрации нормативных правовых актов под № 20395)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охранной зоны, зоны регулирования застройки и зоны охраняемого природного ландшафта памятника истории и культуры Костанайской области "Алексеевский археологический комплекс, эпоха бронзы", расположенного в городе Рудном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памятника истории и культуры Костанайской области "Алексеевский археологический комплекс, эпоха бронзы"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угловых точек охранной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52°57'27.00"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63°10'00.00"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52°57'20.35"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63°09'59.99"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52°57'20.76"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63°09'19.36"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52°57'25.03"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63°09'19.55"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52°57'24.77"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63°09'15.66"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52°57'23.74"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63°09'15.17"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52°57'23.08"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63°09'08.66"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52°57'23.92"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63°09'07.18"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52°57'25.69"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63°09'09.54"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52°57'25.99"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63°09'13.07"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52°57'27.10"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63°09'13.80"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52°57'28.92"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63°09'29.03"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52°57'27.23"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63°09'30.52"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Охранная зона памятника проходит по границам ландшафта, являющегося функционально неотъемлемой частью памятника истории и культуры местного значения Костанайской области "Алексеевский археологический комплекс, эпоха бронзы", расположенного на юго-восточной окраине города Рудного Костанайской области, в районе бывшего стадиона "Горняк", на высоком берегу левого рукава реки Тобол, на высоте 6–8 метров от уровня воды.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 состоит из могильника, поселения и жертвенного места эпохи бронзы. Протяженность могильника вдоль берега составляет около 1 километра. Всего было исследовано 21 погребение. Древнее поселение расположено ниже по течению реки на высоком покатом берегу реки Тобол. С северной стороны отделено небольшой грядой. Невысокий холм, на котором совершались жертвоприношения, занимает центральное место во всем комплексе. Могильник примыкает к нему с западной стороны, а поселение начинается в 45–50 метрах к юго-востоку от остатков крайних жертвоприношений.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территории комплекса с зонами охраны составила – 351504,25 квадратного метра.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охранной зоны памятника отступает от границы территории памятника на 40 метров, составляет (включая площадь памятника) – 178711,23 квадратного метра.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занимает территорию, прилегающую к охранной зоне памятника, с отступом 40 метров от края границы охранной зоны и составляет – 86826,82 квадратного метра.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памятника, с отступом от линии границы регулирования застройки 40 метров и составляет – 85966,2 квадратного метра.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