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c2c03" w14:textId="39c2c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национальной экономики Республики Казахстан от 26 июля 2016 года № 332 "Об утверждении критериев оценки степени риска и проверочных листов в сферах естественных монополий и за соблюдением порядка ценообразования и обязанностей субъекта общественно значимого рынка"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25 мая 2023 года № 81. Зарегистрирован в Министерстве юстиции Республики Казахстан 25 мая 2023 года № 32580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26 июля 2016 года № 332 "Об утверждении критериев оценки степени риска и проверочных листов в сферах естественных монополий и за соблюдением порядка ценообразования и обязанностей субъекта общественно значимого рынка" (зарегистрирован в Реестре государственной регистрации нормативных правовых актов за № 14167)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Критериях</w:t>
      </w:r>
      <w:r>
        <w:rPr>
          <w:rFonts w:ascii="Times New Roman"/>
          <w:b w:val="false"/>
          <w:i w:val="false"/>
          <w:color w:val="000000"/>
          <w:sz w:val="28"/>
        </w:rPr>
        <w:t xml:space="preserve"> оценки степени риска в сферах естественных монополий и за соблюдением порядка ценообразования и обязанностей субъекта общественно значимого рынка (далее – Критерии), утвержденных указанным приказом: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2"/>
    <w:p>
      <w:pPr>
        <w:spacing w:after="0"/>
        <w:ind w:left="0"/>
        <w:jc w:val="both"/>
      </w:pPr>
      <w:r>
        <w:rPr>
          <w:rFonts w:ascii="Times New Roman"/>
          <w:b w:val="false"/>
          <w:i w:val="false"/>
          <w:color w:val="000000"/>
          <w:sz w:val="28"/>
        </w:rPr>
        <w:t>
      "2. В данных Критериях использованы следующие понятия:</w:t>
      </w:r>
    </w:p>
    <w:bookmarkEnd w:id="2"/>
    <w:bookmarkStart w:name="z9" w:id="3"/>
    <w:p>
      <w:pPr>
        <w:spacing w:after="0"/>
        <w:ind w:left="0"/>
        <w:jc w:val="both"/>
      </w:pPr>
      <w:r>
        <w:rPr>
          <w:rFonts w:ascii="Times New Roman"/>
          <w:b w:val="false"/>
          <w:i w:val="false"/>
          <w:color w:val="000000"/>
          <w:sz w:val="28"/>
        </w:rPr>
        <w:t>
      1) субъект контроля – индивидуальные предприниматели и юридические лица, в том числе филиалы и представительства юридических лиц, являющиеся субъектами естественной монополии и (или) общественно значимых рынков;</w:t>
      </w:r>
    </w:p>
    <w:bookmarkEnd w:id="3"/>
    <w:bookmarkStart w:name="z10" w:id="4"/>
    <w:p>
      <w:pPr>
        <w:spacing w:after="0"/>
        <w:ind w:left="0"/>
        <w:jc w:val="both"/>
      </w:pPr>
      <w:r>
        <w:rPr>
          <w:rFonts w:ascii="Times New Roman"/>
          <w:b w:val="false"/>
          <w:i w:val="false"/>
          <w:color w:val="000000"/>
          <w:sz w:val="28"/>
        </w:rPr>
        <w:t>
      2) балл – количественная мера исчисления риска;</w:t>
      </w:r>
    </w:p>
    <w:bookmarkEnd w:id="4"/>
    <w:bookmarkStart w:name="z11" w:id="5"/>
    <w:p>
      <w:pPr>
        <w:spacing w:after="0"/>
        <w:ind w:left="0"/>
        <w:jc w:val="both"/>
      </w:pPr>
      <w:r>
        <w:rPr>
          <w:rFonts w:ascii="Times New Roman"/>
          <w:b w:val="false"/>
          <w:i w:val="false"/>
          <w:color w:val="000000"/>
          <w:sz w:val="28"/>
        </w:rPr>
        <w:t>
      3) нормализация данных – статистическая процедура, предусматривающая приведение значений, измеренных в различных шкалах, к условно общей шкале;</w:t>
      </w:r>
    </w:p>
    <w:bookmarkEnd w:id="5"/>
    <w:bookmarkStart w:name="z12" w:id="6"/>
    <w:p>
      <w:pPr>
        <w:spacing w:after="0"/>
        <w:ind w:left="0"/>
        <w:jc w:val="both"/>
      </w:pPr>
      <w:r>
        <w:rPr>
          <w:rFonts w:ascii="Times New Roman"/>
          <w:b w:val="false"/>
          <w:i w:val="false"/>
          <w:color w:val="000000"/>
          <w:sz w:val="28"/>
        </w:rPr>
        <w:t>
      4) незначительные нарушения – ненадлежащее размещение, публикация, доведение до сведения и уведомление потребителей и предоставление субъектами естественных монополий и общественно значимых рынков информации, отчета, уведомлений в уполномоченный орган; не заключение в соответствии с типовыми договорами, договоров с потребителями; отчуждение имущества не на торгах; взимание платы за предоставление информации о свободных мощностях; неисполнение тарифной сметы и инвестиционной программы; наличие одной подтвержденной жалобы или обращения по несоблюдению требований законодательства Республики Казахстан субъектами в области общественно значимых рынков;</w:t>
      </w:r>
    </w:p>
    <w:bookmarkEnd w:id="6"/>
    <w:bookmarkStart w:name="z13" w:id="7"/>
    <w:p>
      <w:pPr>
        <w:spacing w:after="0"/>
        <w:ind w:left="0"/>
        <w:jc w:val="both"/>
      </w:pPr>
      <w:r>
        <w:rPr>
          <w:rFonts w:ascii="Times New Roman"/>
          <w:b w:val="false"/>
          <w:i w:val="false"/>
          <w:color w:val="000000"/>
          <w:sz w:val="28"/>
        </w:rPr>
        <w:t>
      5) значительные нарушения – наличие одной подтвержденной жалобы или обращения по несоблюдению требований законодательства Республики Казахстан о естественных монополий, неисполнение или ненадлежащее исполнение субъектами естественных монополий и общественно значимых рынков обязанностей, ограничений и требований, регламентированных законодательством Республики Казахстан о естественных монополиях и в области общественно значимых рынков, за исключением обязанностей, ограничений и требований предусматривающих незначительные и грубые нарушения; не соблюдение требований по обращению с заявлением в уполномоченный орган для утверждения тарифа, а также о включении в Государственный регистр субъектов естественных монополий, об исключении из него;</w:t>
      </w:r>
    </w:p>
    <w:bookmarkEnd w:id="7"/>
    <w:bookmarkStart w:name="z14" w:id="8"/>
    <w:p>
      <w:pPr>
        <w:spacing w:after="0"/>
        <w:ind w:left="0"/>
        <w:jc w:val="both"/>
      </w:pPr>
      <w:r>
        <w:rPr>
          <w:rFonts w:ascii="Times New Roman"/>
          <w:b w:val="false"/>
          <w:i w:val="false"/>
          <w:color w:val="000000"/>
          <w:sz w:val="28"/>
        </w:rPr>
        <w:t>
      6) грубые нарушения – необоснованный доход (выручка), полученный субъектами естественных монополий и общественно значимых рынков в результате нарушения законодательства Республики Казахстан; наличие двух или более подтвержденных жалоб, или обращений по несоблюдению требований законодательства Республики Казахстан о естественных монополиях и общественно значимых рынках;</w:t>
      </w:r>
    </w:p>
    <w:bookmarkEnd w:id="8"/>
    <w:bookmarkStart w:name="z15" w:id="9"/>
    <w:p>
      <w:pPr>
        <w:spacing w:after="0"/>
        <w:ind w:left="0"/>
        <w:jc w:val="both"/>
      </w:pPr>
      <w:r>
        <w:rPr>
          <w:rFonts w:ascii="Times New Roman"/>
          <w:b w:val="false"/>
          <w:i w:val="false"/>
          <w:color w:val="000000"/>
          <w:sz w:val="28"/>
        </w:rPr>
        <w:t>
      7) риск в сфере предоставления услуг (товаров, работ), отнесенных к естественным монополиям и общественно значимых рынков – вероятность причинения вреда законным интересам физических и юридических лиц;</w:t>
      </w:r>
    </w:p>
    <w:bookmarkEnd w:id="9"/>
    <w:bookmarkStart w:name="z16" w:id="10"/>
    <w:p>
      <w:pPr>
        <w:spacing w:after="0"/>
        <w:ind w:left="0"/>
        <w:jc w:val="both"/>
      </w:pPr>
      <w:r>
        <w:rPr>
          <w:rFonts w:ascii="Times New Roman"/>
          <w:b w:val="false"/>
          <w:i w:val="false"/>
          <w:color w:val="000000"/>
          <w:sz w:val="28"/>
        </w:rPr>
        <w:t>
      8)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10"/>
    <w:bookmarkStart w:name="z17" w:id="11"/>
    <w:p>
      <w:pPr>
        <w:spacing w:after="0"/>
        <w:ind w:left="0"/>
        <w:jc w:val="both"/>
      </w:pPr>
      <w:r>
        <w:rPr>
          <w:rFonts w:ascii="Times New Roman"/>
          <w:b w:val="false"/>
          <w:i w:val="false"/>
          <w:color w:val="000000"/>
          <w:sz w:val="28"/>
        </w:rPr>
        <w:t>
      9)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bookmarkEnd w:id="11"/>
    <w:bookmarkStart w:name="z18" w:id="12"/>
    <w:p>
      <w:pPr>
        <w:spacing w:after="0"/>
        <w:ind w:left="0"/>
        <w:jc w:val="both"/>
      </w:pPr>
      <w:r>
        <w:rPr>
          <w:rFonts w:ascii="Times New Roman"/>
          <w:b w:val="false"/>
          <w:i w:val="false"/>
          <w:color w:val="000000"/>
          <w:sz w:val="28"/>
        </w:rPr>
        <w:t>
      10) система оценки и управления рисками – процесс принятия управленческих решений, направленных на снижение вероятности наступления неблагоприятных факторов путем распределения субъектов (объектов) контроля по степеням риска для последующего осуществления профилактического контроля с посещением субъекта (объекта) контроля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(или) освобождения такого субъекта (объекта) контроля от профилактического контроля с посещением субъекта (объекта) контроля;</w:t>
      </w:r>
    </w:p>
    <w:bookmarkEnd w:id="12"/>
    <w:bookmarkStart w:name="z19" w:id="13"/>
    <w:p>
      <w:pPr>
        <w:spacing w:after="0"/>
        <w:ind w:left="0"/>
        <w:jc w:val="both"/>
      </w:pPr>
      <w:r>
        <w:rPr>
          <w:rFonts w:ascii="Times New Roman"/>
          <w:b w:val="false"/>
          <w:i w:val="false"/>
          <w:color w:val="000000"/>
          <w:sz w:val="28"/>
        </w:rPr>
        <w:t>
      11) проверочный лист – перечень обязательных требований, предъявляемых к деятельности субъектов (объектов) контроля, несоблюдение которых влечет за собой угрозу жизни и здоровью человека, законным интересам физических и юридических лиц, государства;</w:t>
      </w:r>
    </w:p>
    <w:bookmarkEnd w:id="13"/>
    <w:bookmarkStart w:name="z20" w:id="14"/>
    <w:p>
      <w:pPr>
        <w:spacing w:after="0"/>
        <w:ind w:left="0"/>
        <w:jc w:val="both"/>
      </w:pPr>
      <w:r>
        <w:rPr>
          <w:rFonts w:ascii="Times New Roman"/>
          <w:b w:val="false"/>
          <w:i w:val="false"/>
          <w:color w:val="000000"/>
          <w:sz w:val="28"/>
        </w:rPr>
        <w:t>
      12) уполномоченный орган – государственный орган, осуществляющий руководство в соответствующих сферах естественных монополий;</w:t>
      </w:r>
    </w:p>
    <w:bookmarkEnd w:id="14"/>
    <w:bookmarkStart w:name="z21" w:id="15"/>
    <w:p>
      <w:pPr>
        <w:spacing w:after="0"/>
        <w:ind w:left="0"/>
        <w:jc w:val="both"/>
      </w:pPr>
      <w:r>
        <w:rPr>
          <w:rFonts w:ascii="Times New Roman"/>
          <w:b w:val="false"/>
          <w:i w:val="false"/>
          <w:color w:val="000000"/>
          <w:sz w:val="28"/>
        </w:rPr>
        <w:t>
      13) выборочная совокупность (выборка) – перечень оцениваемых субъектов (объектов), относимых к однородной группе субъектов (объектов) контроля в конкретной сфере государственного контроля, в соответствии с пунктом 2 статьи 143 Кодекса.";</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3" w:id="16"/>
    <w:p>
      <w:pPr>
        <w:spacing w:after="0"/>
        <w:ind w:left="0"/>
        <w:jc w:val="both"/>
      </w:pPr>
      <w:r>
        <w:rPr>
          <w:rFonts w:ascii="Times New Roman"/>
          <w:b w:val="false"/>
          <w:i w:val="false"/>
          <w:color w:val="000000"/>
          <w:sz w:val="28"/>
        </w:rPr>
        <w:t>
      "5. Для целей управления рисками при осуществлении профилактического контроля с посещением субъекта (объекта) контроля, критерии оценки степени риска для проведения профилактического контроля субъектов (объектов) контроля формируются посредством определения объективных и субъективных критериев, которые осуществляются поэтапно (Мультикритериальный анализ решений).</w:t>
      </w:r>
    </w:p>
    <w:bookmarkEnd w:id="16"/>
    <w:bookmarkStart w:name="z24" w:id="17"/>
    <w:p>
      <w:pPr>
        <w:spacing w:after="0"/>
        <w:ind w:left="0"/>
        <w:jc w:val="both"/>
      </w:pPr>
      <w:r>
        <w:rPr>
          <w:rFonts w:ascii="Times New Roman"/>
          <w:b w:val="false"/>
          <w:i w:val="false"/>
          <w:color w:val="000000"/>
          <w:sz w:val="28"/>
        </w:rPr>
        <w:t>
      На первом этапе государственные органы по объективным критериям относят субъекты (объекты) контроля к одной из следующих степеней риска:</w:t>
      </w:r>
    </w:p>
    <w:bookmarkEnd w:id="17"/>
    <w:bookmarkStart w:name="z25" w:id="18"/>
    <w:p>
      <w:pPr>
        <w:spacing w:after="0"/>
        <w:ind w:left="0"/>
        <w:jc w:val="both"/>
      </w:pPr>
      <w:r>
        <w:rPr>
          <w:rFonts w:ascii="Times New Roman"/>
          <w:b w:val="false"/>
          <w:i w:val="false"/>
          <w:color w:val="000000"/>
          <w:sz w:val="28"/>
        </w:rPr>
        <w:t>
      1) высокий риск;</w:t>
      </w:r>
    </w:p>
    <w:bookmarkEnd w:id="18"/>
    <w:bookmarkStart w:name="z26" w:id="19"/>
    <w:p>
      <w:pPr>
        <w:spacing w:after="0"/>
        <w:ind w:left="0"/>
        <w:jc w:val="both"/>
      </w:pPr>
      <w:r>
        <w:rPr>
          <w:rFonts w:ascii="Times New Roman"/>
          <w:b w:val="false"/>
          <w:i w:val="false"/>
          <w:color w:val="000000"/>
          <w:sz w:val="28"/>
        </w:rPr>
        <w:t>
      2) средний риск;</w:t>
      </w:r>
    </w:p>
    <w:bookmarkEnd w:id="19"/>
    <w:bookmarkStart w:name="z27" w:id="20"/>
    <w:p>
      <w:pPr>
        <w:spacing w:after="0"/>
        <w:ind w:left="0"/>
        <w:jc w:val="both"/>
      </w:pPr>
      <w:r>
        <w:rPr>
          <w:rFonts w:ascii="Times New Roman"/>
          <w:b w:val="false"/>
          <w:i w:val="false"/>
          <w:color w:val="000000"/>
          <w:sz w:val="28"/>
        </w:rPr>
        <w:t>
      3) низкий риск.</w:t>
      </w:r>
    </w:p>
    <w:bookmarkEnd w:id="20"/>
    <w:bookmarkStart w:name="z28" w:id="21"/>
    <w:p>
      <w:pPr>
        <w:spacing w:after="0"/>
        <w:ind w:left="0"/>
        <w:jc w:val="both"/>
      </w:pPr>
      <w:r>
        <w:rPr>
          <w:rFonts w:ascii="Times New Roman"/>
          <w:b w:val="false"/>
          <w:i w:val="false"/>
          <w:color w:val="000000"/>
          <w:sz w:val="28"/>
        </w:rPr>
        <w:t>
      Для сфер деятельности субъектов (объектов) контроля, отнесенных к высокой и средней степени риска по объективным критериям, проводятся профилактический контроль с посещением субъекта (объекта) контроля, профилактический контроль без посещения субъекта (объекта) контроля и внеплановая проверка.</w:t>
      </w:r>
    </w:p>
    <w:bookmarkEnd w:id="21"/>
    <w:bookmarkStart w:name="z29" w:id="22"/>
    <w:p>
      <w:pPr>
        <w:spacing w:after="0"/>
        <w:ind w:left="0"/>
        <w:jc w:val="both"/>
      </w:pPr>
      <w:r>
        <w:rPr>
          <w:rFonts w:ascii="Times New Roman"/>
          <w:b w:val="false"/>
          <w:i w:val="false"/>
          <w:color w:val="000000"/>
          <w:sz w:val="28"/>
        </w:rPr>
        <w:t>
      Для сфер деятельности субъектов (объектов) контроля, отнесенных к низкой степени риска по объективным критериям, проводятся профилактический контроль без посещения субъекта (объекта) контроля и внеплановая проверка.</w:t>
      </w:r>
    </w:p>
    <w:bookmarkEnd w:id="22"/>
    <w:bookmarkStart w:name="z30" w:id="23"/>
    <w:p>
      <w:pPr>
        <w:spacing w:after="0"/>
        <w:ind w:left="0"/>
        <w:jc w:val="both"/>
      </w:pPr>
      <w:r>
        <w:rPr>
          <w:rFonts w:ascii="Times New Roman"/>
          <w:b w:val="false"/>
          <w:i w:val="false"/>
          <w:color w:val="000000"/>
          <w:sz w:val="28"/>
        </w:rPr>
        <w:t>
      На втором этапе государственные органы по субъективным критериям относят субъекты (объекты) контроля к одной из следующих степеней риска:</w:t>
      </w:r>
    </w:p>
    <w:bookmarkEnd w:id="23"/>
    <w:bookmarkStart w:name="z31" w:id="24"/>
    <w:p>
      <w:pPr>
        <w:spacing w:after="0"/>
        <w:ind w:left="0"/>
        <w:jc w:val="both"/>
      </w:pPr>
      <w:r>
        <w:rPr>
          <w:rFonts w:ascii="Times New Roman"/>
          <w:b w:val="false"/>
          <w:i w:val="false"/>
          <w:color w:val="000000"/>
          <w:sz w:val="28"/>
        </w:rPr>
        <w:t>
      1) высокий риск;</w:t>
      </w:r>
    </w:p>
    <w:bookmarkEnd w:id="24"/>
    <w:bookmarkStart w:name="z32" w:id="25"/>
    <w:p>
      <w:pPr>
        <w:spacing w:after="0"/>
        <w:ind w:left="0"/>
        <w:jc w:val="both"/>
      </w:pPr>
      <w:r>
        <w:rPr>
          <w:rFonts w:ascii="Times New Roman"/>
          <w:b w:val="false"/>
          <w:i w:val="false"/>
          <w:color w:val="000000"/>
          <w:sz w:val="28"/>
        </w:rPr>
        <w:t>
      2) средний риск;</w:t>
      </w:r>
    </w:p>
    <w:bookmarkEnd w:id="25"/>
    <w:bookmarkStart w:name="z33" w:id="26"/>
    <w:p>
      <w:pPr>
        <w:spacing w:after="0"/>
        <w:ind w:left="0"/>
        <w:jc w:val="both"/>
      </w:pPr>
      <w:r>
        <w:rPr>
          <w:rFonts w:ascii="Times New Roman"/>
          <w:b w:val="false"/>
          <w:i w:val="false"/>
          <w:color w:val="000000"/>
          <w:sz w:val="28"/>
        </w:rPr>
        <w:t>
      3) низкий риск.</w:t>
      </w:r>
    </w:p>
    <w:bookmarkEnd w:id="26"/>
    <w:bookmarkStart w:name="z34" w:id="27"/>
    <w:p>
      <w:pPr>
        <w:spacing w:after="0"/>
        <w:ind w:left="0"/>
        <w:jc w:val="both"/>
      </w:pPr>
      <w:r>
        <w:rPr>
          <w:rFonts w:ascii="Times New Roman"/>
          <w:b w:val="false"/>
          <w:i w:val="false"/>
          <w:color w:val="000000"/>
          <w:sz w:val="28"/>
        </w:rPr>
        <w:t>
      По показателям степени риска по субъективным критериям субъект (объект) контроля относится:</w:t>
      </w:r>
    </w:p>
    <w:bookmarkEnd w:id="27"/>
    <w:bookmarkStart w:name="z35" w:id="28"/>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w:t>
      </w:r>
    </w:p>
    <w:bookmarkEnd w:id="28"/>
    <w:bookmarkStart w:name="z36" w:id="29"/>
    <w:p>
      <w:pPr>
        <w:spacing w:after="0"/>
        <w:ind w:left="0"/>
        <w:jc w:val="both"/>
      </w:pPr>
      <w:r>
        <w:rPr>
          <w:rFonts w:ascii="Times New Roman"/>
          <w:b w:val="false"/>
          <w:i w:val="false"/>
          <w:color w:val="000000"/>
          <w:sz w:val="28"/>
        </w:rPr>
        <w:t>
      2) к средней степени риска – при показателе степени риска от 31 до 70 включительно;</w:t>
      </w:r>
    </w:p>
    <w:bookmarkEnd w:id="29"/>
    <w:bookmarkStart w:name="z37" w:id="30"/>
    <w:p>
      <w:pPr>
        <w:spacing w:after="0"/>
        <w:ind w:left="0"/>
        <w:jc w:val="both"/>
      </w:pPr>
      <w:r>
        <w:rPr>
          <w:rFonts w:ascii="Times New Roman"/>
          <w:b w:val="false"/>
          <w:i w:val="false"/>
          <w:color w:val="000000"/>
          <w:sz w:val="28"/>
        </w:rPr>
        <w:t>
      3) к низкой степени риска – при показателе степени риска от 0 до 30 включительно.";</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39" w:id="31"/>
    <w:p>
      <w:pPr>
        <w:spacing w:after="0"/>
        <w:ind w:left="0"/>
        <w:jc w:val="both"/>
      </w:pPr>
      <w:r>
        <w:rPr>
          <w:rFonts w:ascii="Times New Roman"/>
          <w:b w:val="false"/>
          <w:i w:val="false"/>
          <w:color w:val="000000"/>
          <w:sz w:val="28"/>
        </w:rPr>
        <w:t>
      "9. На основании имеющихся источников информации субъективные критерии подразделяются на три степени нарушения: грубые, значительные, незначительные.</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Субъективные критерии определены для субъектов естественных монополий согласно </w:t>
      </w:r>
      <w:r>
        <w:rPr>
          <w:rFonts w:ascii="Times New Roman"/>
          <w:b w:val="false"/>
          <w:i w:val="false"/>
          <w:color w:val="000000"/>
          <w:sz w:val="28"/>
        </w:rPr>
        <w:t>приложению 1</w:t>
      </w:r>
      <w:r>
        <w:rPr>
          <w:rFonts w:ascii="Times New Roman"/>
          <w:b w:val="false"/>
          <w:i w:val="false"/>
          <w:color w:val="000000"/>
          <w:sz w:val="28"/>
        </w:rPr>
        <w:t xml:space="preserve"> и за соблюдением порядка ценообразования и обязанностей субъекта общественно значимого рынка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Критериям.</w:t>
      </w:r>
    </w:p>
    <w:bookmarkStart w:name="z41" w:id="32"/>
    <w:p>
      <w:pPr>
        <w:spacing w:after="0"/>
        <w:ind w:left="0"/>
        <w:jc w:val="both"/>
      </w:pPr>
      <w:r>
        <w:rPr>
          <w:rFonts w:ascii="Times New Roman"/>
          <w:b w:val="false"/>
          <w:i w:val="false"/>
          <w:color w:val="000000"/>
          <w:sz w:val="28"/>
        </w:rPr>
        <w:t>
      Перечень субъективных критериев для определения степени риска по субъективным критериям предусмотрен для субъектов естественных монополий согласно приложению 1-1 и за соблюдением порядка ценообразования и обязанностей субъекта общественно значимого рынка согласно приложению 2-1 к настоящим Критериям.";</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43" w:id="33"/>
    <w:p>
      <w:pPr>
        <w:spacing w:after="0"/>
        <w:ind w:left="0"/>
        <w:jc w:val="both"/>
      </w:pPr>
      <w:r>
        <w:rPr>
          <w:rFonts w:ascii="Times New Roman"/>
          <w:b w:val="false"/>
          <w:i w:val="false"/>
          <w:color w:val="000000"/>
          <w:sz w:val="28"/>
        </w:rPr>
        <w:t>
      "10. Для отнесения субъекта контроля к степени риска применяется следующий порядок расчета показателя степени риска.</w:t>
      </w:r>
    </w:p>
    <w:bookmarkEnd w:id="33"/>
    <w:bookmarkStart w:name="z44" w:id="34"/>
    <w:p>
      <w:pPr>
        <w:spacing w:after="0"/>
        <w:ind w:left="0"/>
        <w:jc w:val="both"/>
      </w:pPr>
      <w:r>
        <w:rPr>
          <w:rFonts w:ascii="Times New Roman"/>
          <w:b w:val="false"/>
          <w:i w:val="false"/>
          <w:color w:val="000000"/>
          <w:sz w:val="28"/>
        </w:rPr>
        <w:t>
      Расчет показателя степени риска по субъективным критериям (R)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(объектов) контроля (SP) и показателя степени риска по субъективным критериям (SC), с последующей нормализацией значений данных в диапазон от 0 до 100 баллов.</w:t>
      </w:r>
    </w:p>
    <w:bookmarkEnd w:id="34"/>
    <w:bookmarkStart w:name="z45" w:id="35"/>
    <w:p>
      <w:pPr>
        <w:spacing w:after="0"/>
        <w:ind w:left="0"/>
        <w:jc w:val="both"/>
      </w:pPr>
      <w:r>
        <w:rPr>
          <w:rFonts w:ascii="Times New Roman"/>
          <w:b w:val="false"/>
          <w:i w:val="false"/>
          <w:color w:val="000000"/>
          <w:sz w:val="28"/>
        </w:rPr>
        <w:t>
      Rпром = SP + SC, где:</w:t>
      </w:r>
    </w:p>
    <w:bookmarkEnd w:id="35"/>
    <w:bookmarkStart w:name="z46" w:id="36"/>
    <w:p>
      <w:pPr>
        <w:spacing w:after="0"/>
        <w:ind w:left="0"/>
        <w:jc w:val="both"/>
      </w:pPr>
      <w:r>
        <w:rPr>
          <w:rFonts w:ascii="Times New Roman"/>
          <w:b w:val="false"/>
          <w:i w:val="false"/>
          <w:color w:val="000000"/>
          <w:sz w:val="28"/>
        </w:rPr>
        <w:t>
      Rпром – промежуточный показатель степени риска по субъективным критериям;</w:t>
      </w:r>
    </w:p>
    <w:bookmarkEnd w:id="36"/>
    <w:bookmarkStart w:name="z47" w:id="37"/>
    <w:p>
      <w:pPr>
        <w:spacing w:after="0"/>
        <w:ind w:left="0"/>
        <w:jc w:val="both"/>
      </w:pPr>
      <w:r>
        <w:rPr>
          <w:rFonts w:ascii="Times New Roman"/>
          <w:b w:val="false"/>
          <w:i w:val="false"/>
          <w:color w:val="000000"/>
          <w:sz w:val="28"/>
        </w:rPr>
        <w:t>
      SР – показатель степени риска по нарушениям,</w:t>
      </w:r>
    </w:p>
    <w:bookmarkEnd w:id="37"/>
    <w:bookmarkStart w:name="z48" w:id="38"/>
    <w:p>
      <w:pPr>
        <w:spacing w:after="0"/>
        <w:ind w:left="0"/>
        <w:jc w:val="both"/>
      </w:pPr>
      <w:r>
        <w:rPr>
          <w:rFonts w:ascii="Times New Roman"/>
          <w:b w:val="false"/>
          <w:i w:val="false"/>
          <w:color w:val="000000"/>
          <w:sz w:val="28"/>
        </w:rPr>
        <w:t>
      SC – показатель степени риска по субъективным критериям, определенным в соответствии с пунктом 6 настоящих Критериев.</w:t>
      </w:r>
    </w:p>
    <w:bookmarkEnd w:id="38"/>
    <w:bookmarkStart w:name="z49" w:id="39"/>
    <w:p>
      <w:pPr>
        <w:spacing w:after="0"/>
        <w:ind w:left="0"/>
        <w:jc w:val="both"/>
      </w:pPr>
      <w:r>
        <w:rPr>
          <w:rFonts w:ascii="Times New Roman"/>
          <w:b w:val="false"/>
          <w:i w:val="false"/>
          <w:color w:val="000000"/>
          <w:sz w:val="28"/>
        </w:rPr>
        <w:t>
      Расчет производится по каждому субъекту (объекту) контроля однородной группы субъектов (объектов) контроля каждой сферы государственного контроля. При этом перечень оцениваемых субъектов (объектов) контроля, относимых к однородной группе субъектов (объектов) контроля одной сферы государственного контроля, образует выборочную совокупность (выборку) для последующей нормализации данных."</w:t>
      </w:r>
    </w:p>
    <w:bookmarkEnd w:id="39"/>
    <w:bookmarkStart w:name="z50" w:id="40"/>
    <w:p>
      <w:pPr>
        <w:spacing w:after="0"/>
        <w:ind w:left="0"/>
        <w:jc w:val="both"/>
      </w:pPr>
      <w:r>
        <w:rPr>
          <w:rFonts w:ascii="Times New Roman"/>
          <w:b w:val="false"/>
          <w:i w:val="false"/>
          <w:color w:val="000000"/>
          <w:sz w:val="28"/>
        </w:rPr>
        <w:t>
      дополнить пунктами 10-1, 10-2 и 10-3 следующего содержания:</w:t>
      </w:r>
    </w:p>
    <w:bookmarkEnd w:id="40"/>
    <w:bookmarkStart w:name="z51" w:id="41"/>
    <w:p>
      <w:pPr>
        <w:spacing w:after="0"/>
        <w:ind w:left="0"/>
        <w:jc w:val="both"/>
      </w:pPr>
      <w:r>
        <w:rPr>
          <w:rFonts w:ascii="Times New Roman"/>
          <w:b w:val="false"/>
          <w:i w:val="false"/>
          <w:color w:val="000000"/>
          <w:sz w:val="28"/>
        </w:rPr>
        <w:t>
      "10-1. По данным, полученным по результатам предыдущих проверок и профилактического контроля с посещением субъектов (объектов) контроля, формируется показатель степени риска по нарушениям, оцениваемый в баллах от 0 до 100.</w:t>
      </w:r>
    </w:p>
    <w:bookmarkEnd w:id="41"/>
    <w:bookmarkStart w:name="z52" w:id="42"/>
    <w:p>
      <w:pPr>
        <w:spacing w:after="0"/>
        <w:ind w:left="0"/>
        <w:jc w:val="both"/>
      </w:pPr>
      <w:r>
        <w:rPr>
          <w:rFonts w:ascii="Times New Roman"/>
          <w:b w:val="false"/>
          <w:i w:val="false"/>
          <w:color w:val="000000"/>
          <w:sz w:val="28"/>
        </w:rPr>
        <w:t>
      При выявлении одного грубого нарушения по любому из источников информации, указанных в пункте 7 настоящих Критериев, субъекту контроля приравнивается показатель степени риска 100 баллов и в отношении него проводится профилактический контроль с посещением субъекта (объекта) контроля.</w:t>
      </w:r>
    </w:p>
    <w:bookmarkEnd w:id="42"/>
    <w:bookmarkStart w:name="z53" w:id="43"/>
    <w:p>
      <w:pPr>
        <w:spacing w:after="0"/>
        <w:ind w:left="0"/>
        <w:jc w:val="both"/>
      </w:pPr>
      <w:r>
        <w:rPr>
          <w:rFonts w:ascii="Times New Roman"/>
          <w:b w:val="false"/>
          <w:i w:val="false"/>
          <w:color w:val="000000"/>
          <w:sz w:val="28"/>
        </w:rPr>
        <w:t>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w:t>
      </w:r>
    </w:p>
    <w:bookmarkEnd w:id="43"/>
    <w:bookmarkStart w:name="z54" w:id="44"/>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w:t>
      </w:r>
    </w:p>
    <w:bookmarkEnd w:id="44"/>
    <w:bookmarkStart w:name="z55" w:id="45"/>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45"/>
    <w:bookmarkStart w:name="z56" w:id="46"/>
    <w:p>
      <w:pPr>
        <w:spacing w:after="0"/>
        <w:ind w:left="0"/>
        <w:jc w:val="both"/>
      </w:pPr>
      <w:r>
        <w:rPr>
          <w:rFonts w:ascii="Times New Roman"/>
          <w:b w:val="false"/>
          <w:i w:val="false"/>
          <w:color w:val="000000"/>
          <w:sz w:val="28"/>
        </w:rPr>
        <w:t>
      SРз = (SР2 х 100/SР1) х 0,7, где:</w:t>
      </w:r>
    </w:p>
    <w:bookmarkEnd w:id="46"/>
    <w:bookmarkStart w:name="z57" w:id="47"/>
    <w:p>
      <w:pPr>
        <w:spacing w:after="0"/>
        <w:ind w:left="0"/>
        <w:jc w:val="both"/>
      </w:pPr>
      <w:r>
        <w:rPr>
          <w:rFonts w:ascii="Times New Roman"/>
          <w:b w:val="false"/>
          <w:i w:val="false"/>
          <w:color w:val="000000"/>
          <w:sz w:val="28"/>
        </w:rPr>
        <w:t>
      SРз – показатель значительных нарушений;</w:t>
      </w:r>
    </w:p>
    <w:bookmarkEnd w:id="47"/>
    <w:bookmarkStart w:name="z58" w:id="48"/>
    <w:p>
      <w:pPr>
        <w:spacing w:after="0"/>
        <w:ind w:left="0"/>
        <w:jc w:val="both"/>
      </w:pPr>
      <w:r>
        <w:rPr>
          <w:rFonts w:ascii="Times New Roman"/>
          <w:b w:val="false"/>
          <w:i w:val="false"/>
          <w:color w:val="000000"/>
          <w:sz w:val="28"/>
        </w:rPr>
        <w:t>
      SР1 – требуемое количество значительных нарушений;</w:t>
      </w:r>
    </w:p>
    <w:bookmarkEnd w:id="48"/>
    <w:bookmarkStart w:name="z59" w:id="49"/>
    <w:p>
      <w:pPr>
        <w:spacing w:after="0"/>
        <w:ind w:left="0"/>
        <w:jc w:val="both"/>
      </w:pPr>
      <w:r>
        <w:rPr>
          <w:rFonts w:ascii="Times New Roman"/>
          <w:b w:val="false"/>
          <w:i w:val="false"/>
          <w:color w:val="000000"/>
          <w:sz w:val="28"/>
        </w:rPr>
        <w:t>
      SР2 – количество выявленных значительных нарушений;</w:t>
      </w:r>
    </w:p>
    <w:bookmarkEnd w:id="49"/>
    <w:bookmarkStart w:name="z60" w:id="50"/>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w:t>
      </w:r>
    </w:p>
    <w:bookmarkEnd w:id="50"/>
    <w:bookmarkStart w:name="z61" w:id="51"/>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51"/>
    <w:bookmarkStart w:name="z62" w:id="52"/>
    <w:p>
      <w:pPr>
        <w:spacing w:after="0"/>
        <w:ind w:left="0"/>
        <w:jc w:val="both"/>
      </w:pPr>
      <w:r>
        <w:rPr>
          <w:rFonts w:ascii="Times New Roman"/>
          <w:b w:val="false"/>
          <w:i w:val="false"/>
          <w:color w:val="000000"/>
          <w:sz w:val="28"/>
        </w:rPr>
        <w:t>
      SРн = (SР2 х 100/SР1) х 0,3, где:</w:t>
      </w:r>
    </w:p>
    <w:bookmarkEnd w:id="52"/>
    <w:bookmarkStart w:name="z63" w:id="53"/>
    <w:p>
      <w:pPr>
        <w:spacing w:after="0"/>
        <w:ind w:left="0"/>
        <w:jc w:val="both"/>
      </w:pPr>
      <w:r>
        <w:rPr>
          <w:rFonts w:ascii="Times New Roman"/>
          <w:b w:val="false"/>
          <w:i w:val="false"/>
          <w:color w:val="000000"/>
          <w:sz w:val="28"/>
        </w:rPr>
        <w:t>
      SРн – показатель незначительных нарушений;</w:t>
      </w:r>
    </w:p>
    <w:bookmarkEnd w:id="53"/>
    <w:bookmarkStart w:name="z64" w:id="54"/>
    <w:p>
      <w:pPr>
        <w:spacing w:after="0"/>
        <w:ind w:left="0"/>
        <w:jc w:val="both"/>
      </w:pPr>
      <w:r>
        <w:rPr>
          <w:rFonts w:ascii="Times New Roman"/>
          <w:b w:val="false"/>
          <w:i w:val="false"/>
          <w:color w:val="000000"/>
          <w:sz w:val="28"/>
        </w:rPr>
        <w:t>
      SР1 – требуемое количество незначительных нарушений;</w:t>
      </w:r>
    </w:p>
    <w:bookmarkEnd w:id="54"/>
    <w:bookmarkStart w:name="z65" w:id="55"/>
    <w:p>
      <w:pPr>
        <w:spacing w:after="0"/>
        <w:ind w:left="0"/>
        <w:jc w:val="both"/>
      </w:pPr>
      <w:r>
        <w:rPr>
          <w:rFonts w:ascii="Times New Roman"/>
          <w:b w:val="false"/>
          <w:i w:val="false"/>
          <w:color w:val="000000"/>
          <w:sz w:val="28"/>
        </w:rPr>
        <w:t>
      SР2 – количество выявленных незначительных нарушений;</w:t>
      </w:r>
    </w:p>
    <w:bookmarkEnd w:id="55"/>
    <w:bookmarkStart w:name="z66" w:id="56"/>
    <w:p>
      <w:pPr>
        <w:spacing w:after="0"/>
        <w:ind w:left="0"/>
        <w:jc w:val="both"/>
      </w:pPr>
      <w:r>
        <w:rPr>
          <w:rFonts w:ascii="Times New Roman"/>
          <w:b w:val="false"/>
          <w:i w:val="false"/>
          <w:color w:val="000000"/>
          <w:sz w:val="28"/>
        </w:rPr>
        <w:t>
      Показатель степени риска по нарушениям (SР) рассчитывается по шкале от 0 до 100 баллов и определяется путем суммирования показателей значительных и незначительных нарушений по следующей формуле:</w:t>
      </w:r>
    </w:p>
    <w:bookmarkEnd w:id="56"/>
    <w:bookmarkStart w:name="z67" w:id="57"/>
    <w:p>
      <w:pPr>
        <w:spacing w:after="0"/>
        <w:ind w:left="0"/>
        <w:jc w:val="both"/>
      </w:pPr>
      <w:r>
        <w:rPr>
          <w:rFonts w:ascii="Times New Roman"/>
          <w:b w:val="false"/>
          <w:i w:val="false"/>
          <w:color w:val="000000"/>
          <w:sz w:val="28"/>
        </w:rPr>
        <w:t>
      SР = SРз + SРн, где:</w:t>
      </w:r>
    </w:p>
    <w:bookmarkEnd w:id="57"/>
    <w:bookmarkStart w:name="z68" w:id="58"/>
    <w:p>
      <w:pPr>
        <w:spacing w:after="0"/>
        <w:ind w:left="0"/>
        <w:jc w:val="both"/>
      </w:pPr>
      <w:r>
        <w:rPr>
          <w:rFonts w:ascii="Times New Roman"/>
          <w:b w:val="false"/>
          <w:i w:val="false"/>
          <w:color w:val="000000"/>
          <w:sz w:val="28"/>
        </w:rPr>
        <w:t>
      SР – показатель степени риска по нарушениям;</w:t>
      </w:r>
    </w:p>
    <w:bookmarkEnd w:id="58"/>
    <w:bookmarkStart w:name="z69" w:id="59"/>
    <w:p>
      <w:pPr>
        <w:spacing w:after="0"/>
        <w:ind w:left="0"/>
        <w:jc w:val="both"/>
      </w:pPr>
      <w:r>
        <w:rPr>
          <w:rFonts w:ascii="Times New Roman"/>
          <w:b w:val="false"/>
          <w:i w:val="false"/>
          <w:color w:val="000000"/>
          <w:sz w:val="28"/>
        </w:rPr>
        <w:t>
      SРз – показатель значительных нарушений;</w:t>
      </w:r>
    </w:p>
    <w:bookmarkEnd w:id="59"/>
    <w:bookmarkStart w:name="z70" w:id="60"/>
    <w:p>
      <w:pPr>
        <w:spacing w:after="0"/>
        <w:ind w:left="0"/>
        <w:jc w:val="both"/>
      </w:pPr>
      <w:r>
        <w:rPr>
          <w:rFonts w:ascii="Times New Roman"/>
          <w:b w:val="false"/>
          <w:i w:val="false"/>
          <w:color w:val="000000"/>
          <w:sz w:val="28"/>
        </w:rPr>
        <w:t>
      SРн – показатель незначительных нарушений.</w:t>
      </w:r>
    </w:p>
    <w:bookmarkEnd w:id="60"/>
    <w:bookmarkStart w:name="z71" w:id="61"/>
    <w:p>
      <w:pPr>
        <w:spacing w:after="0"/>
        <w:ind w:left="0"/>
        <w:jc w:val="both"/>
      </w:pPr>
      <w:r>
        <w:rPr>
          <w:rFonts w:ascii="Times New Roman"/>
          <w:b w:val="false"/>
          <w:i w:val="false"/>
          <w:color w:val="000000"/>
          <w:sz w:val="28"/>
        </w:rPr>
        <w:t>
      Полученное значение показателя степени риска по нарушениям включается в расчет показателя степени риска по субъективным критериям.</w:t>
      </w:r>
    </w:p>
    <w:bookmarkEnd w:id="61"/>
    <w:bookmarkStart w:name="z72" w:id="62"/>
    <w:p>
      <w:pPr>
        <w:spacing w:after="0"/>
        <w:ind w:left="0"/>
        <w:jc w:val="both"/>
      </w:pPr>
      <w:r>
        <w:rPr>
          <w:rFonts w:ascii="Times New Roman"/>
          <w:b w:val="false"/>
          <w:i w:val="false"/>
          <w:color w:val="000000"/>
          <w:sz w:val="28"/>
        </w:rPr>
        <w:t>
      10-2. Расчет показателя степени риска по субъективным критериям, определенным в соответствии с пунктом 7 настоящих Критериев, производится по шкале от 0 до 100 баллов и осуществляется по следующей формуле:</w:t>
      </w:r>
    </w:p>
    <w:bookmarkEnd w:id="62"/>
    <w:bookmarkStart w:name="z73"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4" w:id="64"/>
    <w:p>
      <w:pPr>
        <w:spacing w:after="0"/>
        <w:ind w:left="0"/>
        <w:jc w:val="both"/>
      </w:pPr>
      <w:r>
        <w:rPr>
          <w:rFonts w:ascii="Times New Roman"/>
          <w:b w:val="false"/>
          <w:i w:val="false"/>
          <w:color w:val="000000"/>
          <w:sz w:val="28"/>
        </w:rPr>
        <w:t>
      xi – показатель субъективного критерия;</w:t>
      </w:r>
    </w:p>
    <w:bookmarkEnd w:id="64"/>
    <w:bookmarkStart w:name="z75" w:id="65"/>
    <w:p>
      <w:pPr>
        <w:spacing w:after="0"/>
        <w:ind w:left="0"/>
        <w:jc w:val="both"/>
      </w:pPr>
      <w:r>
        <w:rPr>
          <w:rFonts w:ascii="Times New Roman"/>
          <w:b w:val="false"/>
          <w:i w:val="false"/>
          <w:color w:val="000000"/>
          <w:sz w:val="28"/>
        </w:rPr>
        <w:t>
      wi – удельный вес показателя субъективного критерия xi;</w:t>
      </w:r>
    </w:p>
    <w:bookmarkEnd w:id="65"/>
    <w:bookmarkStart w:name="z76" w:id="66"/>
    <w:p>
      <w:pPr>
        <w:spacing w:after="0"/>
        <w:ind w:left="0"/>
        <w:jc w:val="both"/>
      </w:pPr>
      <w:r>
        <w:rPr>
          <w:rFonts w:ascii="Times New Roman"/>
          <w:b w:val="false"/>
          <w:i w:val="false"/>
          <w:color w:val="000000"/>
          <w:sz w:val="28"/>
        </w:rPr>
        <w:t>
      n – количество показателей.</w:t>
      </w:r>
    </w:p>
    <w:bookmarkEnd w:id="66"/>
    <w:bookmarkStart w:name="z77" w:id="67"/>
    <w:p>
      <w:pPr>
        <w:spacing w:after="0"/>
        <w:ind w:left="0"/>
        <w:jc w:val="both"/>
      </w:pPr>
      <w:r>
        <w:rPr>
          <w:rFonts w:ascii="Times New Roman"/>
          <w:b w:val="false"/>
          <w:i w:val="false"/>
          <w:color w:val="000000"/>
          <w:sz w:val="28"/>
        </w:rPr>
        <w:t>
      Полученное значение показателя степени риска по субъективным критериям, определенным в соответствии с пунктом 8 настоящих Критериев, включается в расчет показателя степени риска по субъективным критериям.</w:t>
      </w:r>
    </w:p>
    <w:bookmarkEnd w:id="67"/>
    <w:bookmarkStart w:name="z78" w:id="68"/>
    <w:p>
      <w:pPr>
        <w:spacing w:after="0"/>
        <w:ind w:left="0"/>
        <w:jc w:val="both"/>
      </w:pPr>
      <w:r>
        <w:rPr>
          <w:rFonts w:ascii="Times New Roman"/>
          <w:b w:val="false"/>
          <w:i w:val="false"/>
          <w:color w:val="000000"/>
          <w:sz w:val="28"/>
        </w:rPr>
        <w:t>
      10-3. Рассчитанные по субъектам (объектам) значения по показателю R нормализуются в диапазон от 0 до 100 баллов. Нормализация данных осуществляется по каждой выборочной совокупности (выборке) с использованием следующей формулы:</w:t>
      </w:r>
    </w:p>
    <w:bookmarkEnd w:id="68"/>
    <w:bookmarkStart w:name="z79"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0" w:id="70"/>
    <w:p>
      <w:pPr>
        <w:spacing w:after="0"/>
        <w:ind w:left="0"/>
        <w:jc w:val="both"/>
      </w:pPr>
      <w:r>
        <w:rPr>
          <w:rFonts w:ascii="Times New Roman"/>
          <w:b w:val="false"/>
          <w:i w:val="false"/>
          <w:color w:val="000000"/>
          <w:sz w:val="28"/>
        </w:rPr>
        <w:t>
      R – показатель степени риска (итоговый) по субъективным критериям отдельного субъекта (объекта) контроля,</w:t>
      </w:r>
    </w:p>
    <w:bookmarkEnd w:id="70"/>
    <w:bookmarkStart w:name="z81" w:id="71"/>
    <w:p>
      <w:pPr>
        <w:spacing w:after="0"/>
        <w:ind w:left="0"/>
        <w:jc w:val="both"/>
      </w:pPr>
      <w:r>
        <w:rPr>
          <w:rFonts w:ascii="Times New Roman"/>
          <w:b w:val="false"/>
          <w:i w:val="false"/>
          <w:color w:val="000000"/>
          <w:sz w:val="28"/>
        </w:rPr>
        <w:t>
      Rmax – максимально возможное значение по шкале степени риска по субъективным критериям по субъектам (объектам), входящим в одну выборочную совокупность (выборку) (верхняя граница шкалы),</w:t>
      </w:r>
    </w:p>
    <w:bookmarkEnd w:id="71"/>
    <w:bookmarkStart w:name="z82" w:id="72"/>
    <w:p>
      <w:pPr>
        <w:spacing w:after="0"/>
        <w:ind w:left="0"/>
        <w:jc w:val="both"/>
      </w:pPr>
      <w:r>
        <w:rPr>
          <w:rFonts w:ascii="Times New Roman"/>
          <w:b w:val="false"/>
          <w:i w:val="false"/>
          <w:color w:val="000000"/>
          <w:sz w:val="28"/>
        </w:rPr>
        <w:t>
      Rmin – минимально возможное значение по шкале степени риска по субъективным критериям по субъектам (объектам), входящим в одну выборочную совокупность (выборку) (нижняя граница шкалы),</w:t>
      </w:r>
    </w:p>
    <w:bookmarkEnd w:id="72"/>
    <w:bookmarkStart w:name="z83" w:id="73"/>
    <w:p>
      <w:pPr>
        <w:spacing w:after="0"/>
        <w:ind w:left="0"/>
        <w:jc w:val="both"/>
      </w:pPr>
      <w:r>
        <w:rPr>
          <w:rFonts w:ascii="Times New Roman"/>
          <w:b w:val="false"/>
          <w:i w:val="false"/>
          <w:color w:val="000000"/>
          <w:sz w:val="28"/>
        </w:rPr>
        <w:t>
      Rпром – промежуточный показатель степени риска по субъективным критериям, рассчитанный в соответствии с пунктом 10 настоящих Критериев.";</w:t>
      </w:r>
    </w:p>
    <w:bookmarkEnd w:id="73"/>
    <w:bookmarkStart w:name="z84" w:id="74"/>
    <w:p>
      <w:pPr>
        <w:spacing w:after="0"/>
        <w:ind w:left="0"/>
        <w:jc w:val="both"/>
      </w:pPr>
      <w:r>
        <w:rPr>
          <w:rFonts w:ascii="Times New Roman"/>
          <w:b w:val="false"/>
          <w:i w:val="false"/>
          <w:color w:val="000000"/>
          <w:sz w:val="28"/>
        </w:rPr>
        <w:t xml:space="preserve">
      дополнить приложениями 1-1 и 2-1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End w:id="74"/>
    <w:bookmarkStart w:name="z85" w:id="75"/>
    <w:p>
      <w:pPr>
        <w:spacing w:after="0"/>
        <w:ind w:left="0"/>
        <w:jc w:val="both"/>
      </w:pPr>
      <w:r>
        <w:rPr>
          <w:rFonts w:ascii="Times New Roman"/>
          <w:b w:val="false"/>
          <w:i w:val="false"/>
          <w:color w:val="000000"/>
          <w:sz w:val="28"/>
        </w:rPr>
        <w:t>
      2. Комитету по регулированию естественных монополий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интернет-ресурсе Министерства национальной экономики Республики Казахстан.</w:t>
      </w:r>
    </w:p>
    <w:bookmarkEnd w:id="75"/>
    <w:bookmarkStart w:name="z86" w:id="7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76"/>
    <w:bookmarkStart w:name="z87" w:id="7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экономики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bookmarkStart w:name="z89" w:id="78"/>
      <w:r>
        <w:rPr>
          <w:rFonts w:ascii="Times New Roman"/>
          <w:b w:val="false"/>
          <w:i w:val="false"/>
          <w:color w:val="000000"/>
          <w:sz w:val="28"/>
        </w:rPr>
        <w:t>
      "СОГЛАСОВАН"</w:t>
      </w:r>
    </w:p>
    <w:bookmarkEnd w:id="78"/>
    <w:p>
      <w:pPr>
        <w:spacing w:after="0"/>
        <w:ind w:left="0"/>
        <w:jc w:val="both"/>
      </w:pPr>
      <w:r>
        <w:rPr>
          <w:rFonts w:ascii="Times New Roman"/>
          <w:b w:val="false"/>
          <w:i w:val="false"/>
          <w:color w:val="000000"/>
          <w:sz w:val="28"/>
        </w:rPr>
        <w:t>Комитет по правовой статистике</w:t>
      </w:r>
    </w:p>
    <w:p>
      <w:pPr>
        <w:spacing w:after="0"/>
        <w:ind w:left="0"/>
        <w:jc w:val="both"/>
      </w:pPr>
      <w:r>
        <w:rPr>
          <w:rFonts w:ascii="Times New Roman"/>
          <w:b w:val="false"/>
          <w:i w:val="false"/>
          <w:color w:val="000000"/>
          <w:sz w:val="28"/>
        </w:rPr>
        <w:t>и специальным учетам</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25 мая 2023 года № 81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сферах естественных</w:t>
            </w:r>
            <w:r>
              <w:br/>
            </w:r>
            <w:r>
              <w:rPr>
                <w:rFonts w:ascii="Times New Roman"/>
                <w:b w:val="false"/>
                <w:i w:val="false"/>
                <w:color w:val="000000"/>
                <w:sz w:val="20"/>
              </w:rPr>
              <w:t>монополий и за соблюдением</w:t>
            </w:r>
            <w:r>
              <w:br/>
            </w:r>
            <w:r>
              <w:rPr>
                <w:rFonts w:ascii="Times New Roman"/>
                <w:b w:val="false"/>
                <w:i w:val="false"/>
                <w:color w:val="000000"/>
                <w:sz w:val="20"/>
              </w:rPr>
              <w:t>порядка ценообразования</w:t>
            </w:r>
            <w:r>
              <w:br/>
            </w:r>
            <w:r>
              <w:rPr>
                <w:rFonts w:ascii="Times New Roman"/>
                <w:b w:val="false"/>
                <w:i w:val="false"/>
                <w:color w:val="000000"/>
                <w:sz w:val="20"/>
              </w:rPr>
              <w:t>и обязанностей субъекта</w:t>
            </w:r>
            <w:r>
              <w:br/>
            </w:r>
            <w:r>
              <w:rPr>
                <w:rFonts w:ascii="Times New Roman"/>
                <w:b w:val="false"/>
                <w:i w:val="false"/>
                <w:color w:val="000000"/>
                <w:sz w:val="20"/>
              </w:rPr>
              <w:t>общественно значимого рынка</w:t>
            </w:r>
          </w:p>
        </w:tc>
      </w:tr>
    </w:tbl>
    <w:bookmarkStart w:name="z92" w:id="79"/>
    <w:p>
      <w:pPr>
        <w:spacing w:after="0"/>
        <w:ind w:left="0"/>
        <w:jc w:val="left"/>
      </w:pPr>
      <w:r>
        <w:rPr>
          <w:rFonts w:ascii="Times New Roman"/>
          <w:b/>
          <w:i w:val="false"/>
          <w:color w:val="000000"/>
        </w:rPr>
        <w:t xml:space="preserve"> Перечень</w:t>
      </w:r>
      <w:r>
        <w:br/>
      </w:r>
      <w:r>
        <w:rPr>
          <w:rFonts w:ascii="Times New Roman"/>
          <w:b/>
          <w:i w:val="false"/>
          <w:color w:val="000000"/>
        </w:rPr>
        <w:t>субъективных критериев для определения степени риска  по субъективным критериям</w:t>
      </w:r>
    </w:p>
    <w:bookmarkEnd w:id="79"/>
    <w:p>
      <w:pPr>
        <w:spacing w:after="0"/>
        <w:ind w:left="0"/>
        <w:jc w:val="both"/>
      </w:pPr>
      <w:bookmarkStart w:name="z93" w:id="80"/>
      <w:r>
        <w:rPr>
          <w:rFonts w:ascii="Times New Roman"/>
          <w:b w:val="false"/>
          <w:i w:val="false"/>
          <w:color w:val="000000"/>
          <w:sz w:val="28"/>
        </w:rPr>
        <w:t>
      в сферах естественных монополий в соответствии со статьей 138 ________________________</w:t>
      </w:r>
    </w:p>
    <w:bookmarkEnd w:id="80"/>
    <w:p>
      <w:pPr>
        <w:spacing w:after="0"/>
        <w:ind w:left="0"/>
        <w:jc w:val="both"/>
      </w:pPr>
      <w:r>
        <w:rPr>
          <w:rFonts w:ascii="Times New Roman"/>
          <w:b w:val="false"/>
          <w:i w:val="false"/>
          <w:color w:val="000000"/>
          <w:sz w:val="28"/>
        </w:rPr>
        <w:t xml:space="preserve">                   Предпринимательского кодекса Республики Казахстан в отношении</w:t>
      </w:r>
    </w:p>
    <w:bookmarkStart w:name="z94" w:id="81"/>
    <w:p>
      <w:pPr>
        <w:spacing w:after="0"/>
        <w:ind w:left="0"/>
        <w:jc w:val="both"/>
      </w:pPr>
      <w:r>
        <w:rPr>
          <w:rFonts w:ascii="Times New Roman"/>
          <w:b w:val="false"/>
          <w:i w:val="false"/>
          <w:color w:val="000000"/>
          <w:sz w:val="28"/>
        </w:rPr>
        <w:t>
      ________________________________________________________________________________</w:t>
      </w:r>
    </w:p>
    <w:bookmarkEnd w:id="81"/>
    <w:bookmarkStart w:name="z95" w:id="82"/>
    <w:p>
      <w:pPr>
        <w:spacing w:after="0"/>
        <w:ind w:left="0"/>
        <w:jc w:val="both"/>
      </w:pPr>
      <w:r>
        <w:rPr>
          <w:rFonts w:ascii="Times New Roman"/>
          <w:b w:val="false"/>
          <w:i w:val="false"/>
          <w:color w:val="000000"/>
          <w:sz w:val="28"/>
        </w:rPr>
        <w:t>
      наименование однородной группы субъектов (объектов) контроля</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Условия/значения хі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в уполномоченный орган с заявкой для утверждения тарифа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 проводимого уполномоченным органом и (или) другими государственными органами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обратился в уполномоченный орган с заявкой для утверждения тарифа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3"/>
          <w:p>
            <w:pPr>
              <w:spacing w:after="20"/>
              <w:ind w:left="20"/>
              <w:jc w:val="both"/>
            </w:pPr>
            <w:r>
              <w:rPr>
                <w:rFonts w:ascii="Times New Roman"/>
                <w:b w:val="false"/>
                <w:i w:val="false"/>
                <w:color w:val="000000"/>
                <w:sz w:val="20"/>
              </w:rPr>
              <w:t>
Получение согласия уполномоченного органа на:</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1)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совершение сделок с имуществом, используемым для предоставления регулируемой услуги подъездных путей;</w:t>
            </w:r>
          </w:p>
          <w:p>
            <w:pPr>
              <w:spacing w:after="20"/>
              <w:ind w:left="20"/>
              <w:jc w:val="both"/>
            </w:pPr>
            <w:r>
              <w:rPr>
                <w:rFonts w:ascii="Times New Roman"/>
                <w:b w:val="false"/>
                <w:i w:val="false"/>
                <w:color w:val="000000"/>
                <w:sz w:val="20"/>
              </w:rPr>
              <w:t>
3) реорганизацию или ликвидацию</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официальных интернет-ресурсов государственных органов и средств массовой информации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Совершение сделок без получения согласия уполномоченного органа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 уполномоченный орган ежегодно не позднее 1 мая года, следующего за отчетным периодом, отчетов об исполнении утвержденной тарифной сметы, об исполнении утвержденной инвестиционной программы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 проводимого уполномоченным органом и (или) другими государственными органами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срока предоставления в уполномоченный орган отчетов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срока предоставления в уполномоченный орган отчетов 2 и более 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переданного (направленного) уведомления об осуществлении субъектом естественной монополии деятельности, не относящейся к регулируемым услугам в уполномоченный орган в срок не позднее десяти рабочих дней со дня осуществления деятельности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официальных интернет-ресурсов государственных органов и средств массовой информации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уведомления с нарушением срока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уведомления об осуществлении деятельности не относящейся к регулируемым услугам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bookmarkStart w:name="z99" w:id="84"/>
    <w:p>
      <w:pPr>
        <w:spacing w:after="0"/>
        <w:ind w:left="0"/>
        <w:jc w:val="both"/>
      </w:pPr>
      <w:r>
        <w:rPr>
          <w:rFonts w:ascii="Times New Roman"/>
          <w:b w:val="false"/>
          <w:i w:val="false"/>
          <w:color w:val="000000"/>
          <w:sz w:val="28"/>
        </w:rPr>
        <w:t>
      Инструкция по заполнению шаблона:</w:t>
      </w:r>
    </w:p>
    <w:bookmarkEnd w:id="84"/>
    <w:bookmarkStart w:name="z100" w:id="85"/>
    <w:p>
      <w:pPr>
        <w:spacing w:after="0"/>
        <w:ind w:left="0"/>
        <w:jc w:val="both"/>
      </w:pPr>
      <w:r>
        <w:rPr>
          <w:rFonts w:ascii="Times New Roman"/>
          <w:b w:val="false"/>
          <w:i w:val="false"/>
          <w:color w:val="000000"/>
          <w:sz w:val="28"/>
        </w:rPr>
        <w:t>
      1) Показатели субъективных критериев определяются для однородных групп субъектов (объектов) контроля сфере государственного контроля.</w:t>
      </w:r>
    </w:p>
    <w:bookmarkEnd w:id="85"/>
    <w:bookmarkStart w:name="z101" w:id="86"/>
    <w:p>
      <w:pPr>
        <w:spacing w:after="0"/>
        <w:ind w:left="0"/>
        <w:jc w:val="both"/>
      </w:pPr>
      <w:r>
        <w:rPr>
          <w:rFonts w:ascii="Times New Roman"/>
          <w:b w:val="false"/>
          <w:i w:val="false"/>
          <w:color w:val="000000"/>
          <w:sz w:val="28"/>
        </w:rPr>
        <w:t>
      2) В графе 2 указывается показатель субъективного критерия.</w:t>
      </w:r>
    </w:p>
    <w:bookmarkEnd w:id="86"/>
    <w:bookmarkStart w:name="z102" w:id="87"/>
    <w:p>
      <w:pPr>
        <w:spacing w:after="0"/>
        <w:ind w:left="0"/>
        <w:jc w:val="both"/>
      </w:pPr>
      <w:r>
        <w:rPr>
          <w:rFonts w:ascii="Times New Roman"/>
          <w:b w:val="false"/>
          <w:i w:val="false"/>
          <w:color w:val="000000"/>
          <w:sz w:val="28"/>
        </w:rPr>
        <w:t>
      3) В графе 3 указываются приоритетные источники информации.</w:t>
      </w:r>
    </w:p>
    <w:bookmarkEnd w:id="87"/>
    <w:bookmarkStart w:name="z103" w:id="88"/>
    <w:p>
      <w:pPr>
        <w:spacing w:after="0"/>
        <w:ind w:left="0"/>
        <w:jc w:val="both"/>
      </w:pPr>
      <w:r>
        <w:rPr>
          <w:rFonts w:ascii="Times New Roman"/>
          <w:b w:val="false"/>
          <w:i w:val="false"/>
          <w:color w:val="000000"/>
          <w:sz w:val="28"/>
        </w:rPr>
        <w:t>
      4) В графе 4 указывается удельный вес по значимости показателя субъективного критерия в баллах. Сумма всех строк по данной графе не должно превышать 100 баллов.</w:t>
      </w:r>
    </w:p>
    <w:bookmarkEnd w:id="88"/>
    <w:bookmarkStart w:name="z104" w:id="89"/>
    <w:p>
      <w:pPr>
        <w:spacing w:after="0"/>
        <w:ind w:left="0"/>
        <w:jc w:val="both"/>
      </w:pPr>
      <w:r>
        <w:rPr>
          <w:rFonts w:ascii="Times New Roman"/>
          <w:b w:val="false"/>
          <w:i w:val="false"/>
          <w:color w:val="000000"/>
          <w:sz w:val="28"/>
        </w:rPr>
        <w:t>
      5) В графе 5 указываются условия учета показателя субъективного критерия в расчете степени риска по субъективным критериям и числовые значения показателей субъективных критериев, соответствующие каждому условию. Числовые значения указываются в процентах от 0 до 100, в зависимости от повышения риска. Допустимые значения показателей субъективных критериев регламентируются нормативными правовыми актами Республики Казахстан.</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25 мая 2023 года № 81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сферах естественных</w:t>
            </w:r>
            <w:r>
              <w:br/>
            </w:r>
            <w:r>
              <w:rPr>
                <w:rFonts w:ascii="Times New Roman"/>
                <w:b w:val="false"/>
                <w:i w:val="false"/>
                <w:color w:val="000000"/>
                <w:sz w:val="20"/>
              </w:rPr>
              <w:t>монополий и за соблюдением</w:t>
            </w:r>
            <w:r>
              <w:br/>
            </w:r>
            <w:r>
              <w:rPr>
                <w:rFonts w:ascii="Times New Roman"/>
                <w:b w:val="false"/>
                <w:i w:val="false"/>
                <w:color w:val="000000"/>
                <w:sz w:val="20"/>
              </w:rPr>
              <w:t>порядка ценообразования</w:t>
            </w:r>
            <w:r>
              <w:br/>
            </w:r>
            <w:r>
              <w:rPr>
                <w:rFonts w:ascii="Times New Roman"/>
                <w:b w:val="false"/>
                <w:i w:val="false"/>
                <w:color w:val="000000"/>
                <w:sz w:val="20"/>
              </w:rPr>
              <w:t>и обязанностей субъекта</w:t>
            </w:r>
            <w:r>
              <w:br/>
            </w:r>
            <w:r>
              <w:rPr>
                <w:rFonts w:ascii="Times New Roman"/>
                <w:b w:val="false"/>
                <w:i w:val="false"/>
                <w:color w:val="000000"/>
                <w:sz w:val="20"/>
              </w:rPr>
              <w:t>общественно значимого рынка</w:t>
            </w:r>
          </w:p>
        </w:tc>
      </w:tr>
    </w:tbl>
    <w:bookmarkStart w:name="z107" w:id="90"/>
    <w:p>
      <w:pPr>
        <w:spacing w:after="0"/>
        <w:ind w:left="0"/>
        <w:jc w:val="left"/>
      </w:pPr>
      <w:r>
        <w:rPr>
          <w:rFonts w:ascii="Times New Roman"/>
          <w:b/>
          <w:i w:val="false"/>
          <w:color w:val="000000"/>
        </w:rPr>
        <w:t xml:space="preserve"> Перечень</w:t>
      </w:r>
      <w:r>
        <w:br/>
      </w:r>
      <w:r>
        <w:rPr>
          <w:rFonts w:ascii="Times New Roman"/>
          <w:b/>
          <w:i w:val="false"/>
          <w:color w:val="000000"/>
        </w:rPr>
        <w:t>субъективных критериев для определения степени риска  по субъективным критериям</w:t>
      </w:r>
    </w:p>
    <w:bookmarkEnd w:id="90"/>
    <w:p>
      <w:pPr>
        <w:spacing w:after="0"/>
        <w:ind w:left="0"/>
        <w:jc w:val="both"/>
      </w:pPr>
      <w:bookmarkStart w:name="z108" w:id="91"/>
      <w:r>
        <w:rPr>
          <w:rFonts w:ascii="Times New Roman"/>
          <w:b w:val="false"/>
          <w:i w:val="false"/>
          <w:color w:val="000000"/>
          <w:sz w:val="28"/>
        </w:rPr>
        <w:t>
      в сферах общественно значимых рынков в соответствии со статьей 138 __________________</w:t>
      </w:r>
    </w:p>
    <w:bookmarkEnd w:id="91"/>
    <w:p>
      <w:pPr>
        <w:spacing w:after="0"/>
        <w:ind w:left="0"/>
        <w:jc w:val="both"/>
      </w:pPr>
      <w:r>
        <w:rPr>
          <w:rFonts w:ascii="Times New Roman"/>
          <w:b w:val="false"/>
          <w:i w:val="false"/>
          <w:color w:val="000000"/>
          <w:sz w:val="28"/>
        </w:rPr>
        <w:t xml:space="preserve">                   Предпринимательского кодекса Республики Казахстан в отношении</w:t>
      </w:r>
    </w:p>
    <w:bookmarkStart w:name="z109" w:id="92"/>
    <w:p>
      <w:pPr>
        <w:spacing w:after="0"/>
        <w:ind w:left="0"/>
        <w:jc w:val="both"/>
      </w:pPr>
      <w:r>
        <w:rPr>
          <w:rFonts w:ascii="Times New Roman"/>
          <w:b w:val="false"/>
          <w:i w:val="false"/>
          <w:color w:val="000000"/>
          <w:sz w:val="28"/>
        </w:rPr>
        <w:t>
      ________________________________________________________________________________</w:t>
      </w:r>
    </w:p>
    <w:bookmarkEnd w:id="92"/>
    <w:bookmarkStart w:name="z110" w:id="93"/>
    <w:p>
      <w:pPr>
        <w:spacing w:after="0"/>
        <w:ind w:left="0"/>
        <w:jc w:val="both"/>
      </w:pPr>
      <w:r>
        <w:rPr>
          <w:rFonts w:ascii="Times New Roman"/>
          <w:b w:val="false"/>
          <w:i w:val="false"/>
          <w:color w:val="000000"/>
          <w:sz w:val="28"/>
        </w:rPr>
        <w:t>
      наименование однородной группы субъектов (объектов) контроля</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Условия/значения хі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 уполномоченный орган, осуществляющий руководство в сферах естественных монополий, в электронной форме не менее чем за тридцать календарных дней информации о предстоящем повышении цен на товары (работы, услуги) выше предельной цены и причинах их повышения с представлением обосновывающих материалов, подтверждающих причины повышения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 проводимого уполномоченным органом и (или) другими государственными органами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срока предоставления информации о предстоящем повышении цен на товары (работы, услуги) выше предельной цены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срока предоставления информации о предстоящем повышении цен на товары (работы, услуги) выше предельной цены 2 и более 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 уполномоченный орган информации, указывающей на причины снижения или повышения, не позднее пяти рабочих дней со дня снижения или повышения цены, при самостоятельном снижении или повышении цены на товары (работы, услуги), реализуемые на общественно значимых рынках, не превышая предельной цены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 проводимого уполномоченным органом и (или) другими государственными органами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срока предоставления в уполномоченный орган информации, указывающей на причины снижения или повышения цены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срока предоставления в уполномоченный орган информации, указывающей на причины снижения или повышения цены 2 и более 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4"/>
          <w:p>
            <w:pPr>
              <w:spacing w:after="20"/>
              <w:ind w:left="20"/>
              <w:jc w:val="both"/>
            </w:pPr>
            <w:r>
              <w:rPr>
                <w:rFonts w:ascii="Times New Roman"/>
                <w:b w:val="false"/>
                <w:i w:val="false"/>
                <w:color w:val="000000"/>
                <w:sz w:val="20"/>
              </w:rPr>
              <w:t>
Предоставление в уполномоченный орган, осуществляющий руководство в сферах естественных монополий:</w:t>
            </w:r>
          </w:p>
          <w:bookmarkEnd w:id="94"/>
          <w:p>
            <w:pPr>
              <w:spacing w:after="20"/>
              <w:ind w:left="20"/>
              <w:jc w:val="both"/>
            </w:pPr>
            <w:r>
              <w:rPr>
                <w:rFonts w:ascii="Times New Roman"/>
                <w:b w:val="false"/>
                <w:i w:val="false"/>
                <w:color w:val="000000"/>
                <w:sz w:val="20"/>
              </w:rPr>
              <w:t>
</w:t>
            </w:r>
            <w:r>
              <w:rPr>
                <w:rFonts w:ascii="Times New Roman"/>
                <w:b w:val="false"/>
                <w:i w:val="false"/>
                <w:color w:val="000000"/>
                <w:sz w:val="20"/>
              </w:rPr>
              <w:t>1) ежемесячную информацию об объемах производства (реализации), уровне доходности и отпускных ценах производимых (реализуемых) товаров (работ, услуг) по форме, утвержденной уполномоченным органом, осуществляющим руководство в сферах естественных монополий, не позднее последнего дня месяца, следующего за отчетным;</w:t>
            </w:r>
          </w:p>
          <w:p>
            <w:pPr>
              <w:spacing w:after="20"/>
              <w:ind w:left="20"/>
              <w:jc w:val="both"/>
            </w:pPr>
            <w:r>
              <w:rPr>
                <w:rFonts w:ascii="Times New Roman"/>
                <w:b w:val="false"/>
                <w:i w:val="false"/>
                <w:color w:val="000000"/>
                <w:sz w:val="20"/>
              </w:rPr>
              <w:t>
</w:t>
            </w:r>
            <w:r>
              <w:rPr>
                <w:rFonts w:ascii="Times New Roman"/>
                <w:b w:val="false"/>
                <w:i w:val="false"/>
                <w:color w:val="000000"/>
                <w:sz w:val="20"/>
              </w:rPr>
              <w:t>2) ежеквартальную финансовую отчетность не позднее последнего дня месяца, следующего за отчетным кварталом;</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позднее 1 августа текущего календарного года и 1 мая следующего календарного года информацию по итогам полугодия, года об исполнении либо о неисполнении инвестиционной программы, учтенной в предельной цене, по форме, утвержденной уполномоченным органом, осуществляющим руководство в сферах естественных монополий;</w:t>
            </w:r>
          </w:p>
          <w:p>
            <w:pPr>
              <w:spacing w:after="20"/>
              <w:ind w:left="20"/>
              <w:jc w:val="both"/>
            </w:pPr>
            <w:r>
              <w:rPr>
                <w:rFonts w:ascii="Times New Roman"/>
                <w:b w:val="false"/>
                <w:i w:val="false"/>
                <w:color w:val="000000"/>
                <w:sz w:val="20"/>
              </w:rPr>
              <w:t>
</w:t>
            </w:r>
            <w:r>
              <w:rPr>
                <w:rFonts w:ascii="Times New Roman"/>
                <w:b w:val="false"/>
                <w:i w:val="false"/>
                <w:color w:val="000000"/>
                <w:sz w:val="20"/>
              </w:rPr>
              <w:t>4) информацию, необходимую для проведения экспертизы цены, в электронной форме в сроки, установленные уполномоченным органом, осуществляющим руководство в сферах естественных монополий, которые не могут быть менее пяти рабочих дней со дня получения субъектом общественно значимого рынка соответствующего требования;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государственного регулирования цен или с момента начала производства (реализации) товаров, работ, услуг либо не менее чем за тридцать календарных дней до предстоящего повышения отпускной цены на товары, работы, услуги;</w:t>
            </w:r>
          </w:p>
          <w:p>
            <w:pPr>
              <w:spacing w:after="20"/>
              <w:ind w:left="20"/>
              <w:jc w:val="both"/>
            </w:pPr>
            <w:r>
              <w:rPr>
                <w:rFonts w:ascii="Times New Roman"/>
                <w:b w:val="false"/>
                <w:i w:val="false"/>
                <w:color w:val="000000"/>
                <w:sz w:val="20"/>
              </w:rPr>
              <w:t>
6) полугодовую информацию об использовании средств по покупке и (или) передаче электрической энергии, товарного газа, учтенных в предельной цене, с приложением подтверждающих материалов не позднее двадцать пятого числа месяца, следующего за отчетным полугодием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 проводимого уполномоченным органом и (или) другими государственными органами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срока предоставления в уполномоченный орган информации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срока предоставления в уполномоченный орган информации 2 и более раз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 w:id="95"/>
    <w:p>
      <w:pPr>
        <w:spacing w:after="0"/>
        <w:ind w:left="0"/>
        <w:jc w:val="both"/>
      </w:pPr>
      <w:r>
        <w:rPr>
          <w:rFonts w:ascii="Times New Roman"/>
          <w:b w:val="false"/>
          <w:i w:val="false"/>
          <w:color w:val="000000"/>
          <w:sz w:val="28"/>
        </w:rPr>
        <w:t>
      Инструкция по заполнению шаблона:</w:t>
      </w:r>
    </w:p>
    <w:bookmarkEnd w:id="95"/>
    <w:bookmarkStart w:name="z118" w:id="96"/>
    <w:p>
      <w:pPr>
        <w:spacing w:after="0"/>
        <w:ind w:left="0"/>
        <w:jc w:val="both"/>
      </w:pPr>
      <w:r>
        <w:rPr>
          <w:rFonts w:ascii="Times New Roman"/>
          <w:b w:val="false"/>
          <w:i w:val="false"/>
          <w:color w:val="000000"/>
          <w:sz w:val="28"/>
        </w:rPr>
        <w:t>
      1) Показатели субъективных критериев определяются для однородных групп субъектов (объектов) контроля сфере государственного контроля.</w:t>
      </w:r>
    </w:p>
    <w:bookmarkEnd w:id="96"/>
    <w:bookmarkStart w:name="z119" w:id="97"/>
    <w:p>
      <w:pPr>
        <w:spacing w:after="0"/>
        <w:ind w:left="0"/>
        <w:jc w:val="both"/>
      </w:pPr>
      <w:r>
        <w:rPr>
          <w:rFonts w:ascii="Times New Roman"/>
          <w:b w:val="false"/>
          <w:i w:val="false"/>
          <w:color w:val="000000"/>
          <w:sz w:val="28"/>
        </w:rPr>
        <w:t>
      2) В графе 2 указывается показатель субъективного критерия.</w:t>
      </w:r>
    </w:p>
    <w:bookmarkEnd w:id="97"/>
    <w:bookmarkStart w:name="z120" w:id="98"/>
    <w:p>
      <w:pPr>
        <w:spacing w:after="0"/>
        <w:ind w:left="0"/>
        <w:jc w:val="both"/>
      </w:pPr>
      <w:r>
        <w:rPr>
          <w:rFonts w:ascii="Times New Roman"/>
          <w:b w:val="false"/>
          <w:i w:val="false"/>
          <w:color w:val="000000"/>
          <w:sz w:val="28"/>
        </w:rPr>
        <w:t>
      3) В графе 3 указываются приоритетные источники информации.</w:t>
      </w:r>
    </w:p>
    <w:bookmarkEnd w:id="98"/>
    <w:bookmarkStart w:name="z121" w:id="99"/>
    <w:p>
      <w:pPr>
        <w:spacing w:after="0"/>
        <w:ind w:left="0"/>
        <w:jc w:val="both"/>
      </w:pPr>
      <w:r>
        <w:rPr>
          <w:rFonts w:ascii="Times New Roman"/>
          <w:b w:val="false"/>
          <w:i w:val="false"/>
          <w:color w:val="000000"/>
          <w:sz w:val="28"/>
        </w:rPr>
        <w:t>
      4) В графе 4 указывается удельный вес по значимости показателя субъективного критерия в баллах. Сумма всех строк по данной графе не должно превышать 100 баллов.</w:t>
      </w:r>
    </w:p>
    <w:bookmarkEnd w:id="99"/>
    <w:bookmarkStart w:name="z122" w:id="100"/>
    <w:p>
      <w:pPr>
        <w:spacing w:after="0"/>
        <w:ind w:left="0"/>
        <w:jc w:val="both"/>
      </w:pPr>
      <w:r>
        <w:rPr>
          <w:rFonts w:ascii="Times New Roman"/>
          <w:b w:val="false"/>
          <w:i w:val="false"/>
          <w:color w:val="000000"/>
          <w:sz w:val="28"/>
        </w:rPr>
        <w:t>
      5) В графе 5 указываются условия учета показателя субъективного критерия в расчете степени риска по субъективным критериям и числовые значения показателей субъективных критериев, соответствующие каждому условию. Числовые значения указываются в процентах от 0 до 100, в зависимости от повышения риска. Допустимые значения показателей субъективных критериев регламентируются нормативными правовыми актами Республики Казахстан.</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