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5a98" w14:textId="a1f5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w:t>
      </w:r>
    </w:p>
    <w:p>
      <w:pPr>
        <w:spacing w:after="0"/>
        <w:ind w:left="0"/>
        <w:jc w:val="both"/>
      </w:pPr>
      <w:r>
        <w:rPr>
          <w:rFonts w:ascii="Times New Roman"/>
          <w:b w:val="false"/>
          <w:i w:val="false"/>
          <w:color w:val="000000"/>
          <w:sz w:val="28"/>
        </w:rPr>
        <w:t>Постановление акимата Сарканского района области Жетісу от 10 мая2023 года № 173. Зарегистрировано Департаментом юстиции области Жетісу 11 мая 2023 года № 24-19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Сарканского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прилагаемые</w:t>
      </w:r>
      <w:r>
        <w:rPr>
          <w:rFonts w:ascii="Times New Roman"/>
          <w:b w:val="false"/>
          <w:i w:val="false"/>
          <w:color w:val="000000"/>
          <w:sz w:val="28"/>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Сарканского района.</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Сарканского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 к постановлению от 10 мая 2023 года № 173</w:t>
            </w:r>
          </w:p>
        </w:tc>
      </w:tr>
    </w:tbl>
    <w:bookmarkStart w:name="z14"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w:t>
      </w:r>
    </w:p>
    <w:bookmarkEnd w:id="6"/>
    <w:bookmarkStart w:name="z17" w:id="7"/>
    <w:p>
      <w:pPr>
        <w:spacing w:after="0"/>
        <w:ind w:left="0"/>
        <w:jc w:val="both"/>
      </w:pPr>
      <w:r>
        <w:rPr>
          <w:rFonts w:ascii="Times New Roman"/>
          <w:b w:val="false"/>
          <w:i w:val="false"/>
          <w:color w:val="000000"/>
          <w:sz w:val="28"/>
        </w:rPr>
        <w:t>
      2. В настоящих Правилах применяются сследующие основные понятия:</w:t>
      </w:r>
    </w:p>
    <w:bookmarkEnd w:id="7"/>
    <w:bookmarkStart w:name="z18"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9"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0"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21"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2"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3"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4"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5"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6"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7"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8"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Сарканского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9" w:id="19"/>
    <w:p>
      <w:pPr>
        <w:spacing w:after="0"/>
        <w:ind w:left="0"/>
        <w:jc w:val="both"/>
      </w:pPr>
      <w:r>
        <w:rPr>
          <w:rFonts w:ascii="Times New Roman"/>
          <w:b w:val="false"/>
          <w:i w:val="false"/>
          <w:color w:val="000000"/>
          <w:sz w:val="28"/>
        </w:rPr>
        <w:t>
      4. Государственное учреждение "Отдел строительства, архитектуры и градостроительства Сарканского района"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19"/>
    <w:bookmarkStart w:name="z30" w:id="20"/>
    <w:p>
      <w:pPr>
        <w:spacing w:after="0"/>
        <w:ind w:left="0"/>
        <w:jc w:val="both"/>
      </w:pPr>
      <w:r>
        <w:rPr>
          <w:rFonts w:ascii="Times New Roman"/>
          <w:b w:val="false"/>
          <w:i w:val="false"/>
          <w:color w:val="000000"/>
          <w:sz w:val="28"/>
        </w:rPr>
        <w:t>
      5. Акимат Сарканского района организует следующие мероприятия:</w:t>
      </w:r>
    </w:p>
    <w:bookmarkEnd w:id="20"/>
    <w:bookmarkStart w:name="z31"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32"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3"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4"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5"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6"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7"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8"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9"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40" w:id="30"/>
    <w:p>
      <w:pPr>
        <w:spacing w:after="0"/>
        <w:ind w:left="0"/>
        <w:jc w:val="both"/>
      </w:pPr>
      <w:r>
        <w:rPr>
          <w:rFonts w:ascii="Times New Roman"/>
          <w:b w:val="false"/>
          <w:i w:val="false"/>
          <w:color w:val="000000"/>
          <w:sz w:val="28"/>
        </w:rPr>
        <w:t>
      11. После утверждения сметной стоимости текущего ремонта или получения положительного заключения экспертизы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41"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2"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3" w:id="33"/>
    <w:p>
      <w:pPr>
        <w:spacing w:after="0"/>
        <w:ind w:left="0"/>
        <w:jc w:val="left"/>
      </w:pPr>
      <w:r>
        <w:rPr>
          <w:rFonts w:ascii="Times New Roman"/>
          <w:b/>
          <w:i w:val="false"/>
          <w:color w:val="000000"/>
        </w:rPr>
        <w:t xml:space="preserve"> Глава 4. Заключительные положения</w:t>
      </w:r>
    </w:p>
    <w:bookmarkEnd w:id="33"/>
    <w:bookmarkStart w:name="z44"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Сарканского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