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be88" w14:textId="c4cb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19 ноября 2019 года № 90 "Об утверждении Правил формирования тарифов"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26 января 2024 года № 1. Зарегистрирован в Министерстве юстиции Республики Казахстан 30 января 2024 года № 33943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2019 года № 90 "Об утверждении Правил формирования тарифов" (зарегистрирован в Реестре государственной регистрации нормативных правовых актов за № 19617)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"14-1) данные о фактическом использовании мощности субъекта естественной монополии из объектов информатизации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"247. В целях дифференциации тарифа на регулируемые услуги водоснабжения и (или) водоотведения потребители подразделяются на группы: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 относящиеся к категории населения, организации, занимающиеся производством тепловой энергии, в пределах объемов потребления воды на собственные нужды в процессе производства тепловой энергии и объемов подпитки при предоставлении услуг горячего водоснабжения (при открытой системе горячего водоснабжения), организации, занимающиеся передачей и распределением тепловой энергии, в пределах объемов утвержденных нормативных технических потерь и организации, предоставляющие регулируемые услуги в сфере водоснабжения и (или) водоотведения – первая группа;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прочие потребители – юридические лица, не входящие в состав первой и третьей групп – вторая группа;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организации, содержащиеся за счет бюджетных средств – третья группа.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физических лиц к ресурсосбережению, тариф первой группы дифференцируется по следующим категориям потребителей: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подгруппа - физические лица, относящиеся к категории населения потребляющие регулируемые услуги до 3 в месяц на 1 человека;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подгруппа - физические лица, относящиеся к категории населения потребляющие регулируемые услуги от 3 до 5 в месяц на 1 человека;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подгруппа - физические лица, относящиеся к категории населения потребляющие регулируемые услуги от 5 до 10 в месяц на 1 человека, организации, занимающиеся производством тепловой энергии, в пределах объемов потребления воды на собственные нужды в процессе производства тепловой энергии и объемов подпитки при предоставлении услуг горячего водоснабжения (при открытой системе горячего водоснабжения), организации, занимающиеся передачей и распределением тепловой энергии, в пределах объемов утвержденных нормативных технических потерь и организации, предоставляющие регулируемые услуги в сфере водоснабжения и (или) водоотведения";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подгруппа - физические лица, относящиеся к категории населения потребляющие регулируемые услуги выше 10 в месяц на 1 человека.";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247-1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"247-1. Полученный субъектом естественной монополий дополнительный доход при применений тарифов подгрупп 2, 3, 4 первой группы потребителей "физические лица, относящиеся к категории населения относящиеся к категории населения" направляется на модернизацию, реконструкцию оборудования и сетей по регулируемой услуге, а также приобретение основных средств (оборудование).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уполномоченным органом при анализе отчета об исполнений утвержденной тарифной сметы нецелевого использования дополнительного дохода, то необоснованный доход исключается от утвержденного всего дохода субъекта естественной монополий.";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249-1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"249-1. Тариф на регулируемые услуги водоснабжения и (или) водоотведения для следующих категорий первой группы определяются по формулам: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Тнас1 = Тнас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Тнас2 = 1,2*Тнас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Тнас3 = 1,5*Тнас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Тнас4 = 2*Тнас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Тнас1 – тариф 1 подгруппы;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 – тариф определенный в соответствии с пунктом 249 настоящих Правил.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Тнас2 – тариф 2 подгруппы;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Тнас3 – тариф 3 подгруппы;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Тнас4 – тариф 4 подгруппы.";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"268. Тариф на регулируемые услуги по снабжению тепловой энергией дифференцируется по группам потребителей, в том числе в зависимости от наличия или отсутствия общедомовых приборов учета потребления тепловой энергии и (или) общей отапливаемой площади помещения.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для групп потребителей определяются исходя из тарифа, определенного в соответствии с Особенностями механизма расчета тарифа на регулируемые услуги по снабжению тепловой энергией согласно разделу 3 параграфа 2 настоящих Правил, с учетом: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платежеспособности населения соответствующего региона;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влияния на инфляцию;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структуры потребления тепловой энергии;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развития промышленного производства;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стимулов для энергосбережения.";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272-1, 272-2 и 272-3 следующего содержания: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"272-1. В рамках установления социальных лимитов потребления тепловой энергии с учетом размера общей площади потребители первой группы физические лица, относящиеся к категории населения подразделяются на три подгруппы: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подгруппа – физические лица, относящиеся к категории населения, отапливаемая площадь до 100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подгруппа – физические лица, относящиеся к категории населения, отапливаемая площадь свыше 100 до 200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подгруппа – физические лица, относящиеся к категории населения, отапливаемая площадь свыше 200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272-2. Тариф на услуги снабжения тепловой энергии для подгрупп определяется следующим образом: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подгруппа физические лица, относящиеся к категории населения, отапливаемая площадь до 100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Тнас1=Тнас, где: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Тнас1 – тариф физических лиц, относящиеся к категории населения – 1 подгруппа;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 – тариф определенный в соответствии с пунктом 270 настоящих Правил;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подгруппа – физические лица, относящиеся к категории населения отапливаемая площадь свыше 100 до 200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Тнас2=Тнас*1,1, где: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Тнас2 – тариф физических лиц, относящихся к категории населения – 2 подгруппа.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для определенного объема применяется тариф физических лиц, относящиеся к категории населения как для 1 подгруппы населения, на оставшийся объем применяется соответствующий тариф физических лиц для 2 подгруппы населения;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подгруппа – физические лица, относящиеся к категории населения отапливаемая площадь свыше 200 м2: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Тнас3=То, где: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Тнас3 – тариф физических лиц, относящиеся к категории населения – 3 подгруппа;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To – тариф, определенный с учетом требований настоящих Правил на услуги снабжения тепловой энергией (среднеотпускной тариф).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для определенного объема применяются тарифы физических лиц, относящиеся к категории населения как для 1 и 2 подгруппы населения, на оставшийся объем применяется соответствующий тариф физических лиц, относящиеся к категории населения для 3-ей подгруппы населения.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272-3. Полученный субъектом естественных монополий дополнительный доход, при применений тарифа для подгруппы 2 и 3 первой группы потребителей "физические лица, относящиеся к категории населения" направляется на модернизацию, реконструкцию оборудования и сетей по регулируемой услуге, а также приобретение основных средств (оборудование).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ведомством уполномоченного органа, при анализе отчета об исполнений утвержденной тарифной сметы нецелевого использования дополнительного дохода, то необоснованный доход исключается от утвержденного всего дохода субъекта естественной монополий.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уполномоченного органа, при проведении анализа отчета об исполнений утвержденной тарифной сметы исключает сумму нецелевого использования дополнительного дохода от утвержденного всего дохода.";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341 изложить в следующей редакции: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информация об инвестиционных затратах на реализацию инвестиционной программы с указанием стоимости приобретаемых основных средств, строительно-монтажных работ с приложением сравнительного анализа уровня цен, в том числе документального технического подтверждения необходимости проведения таких работ, сводных сметных расчетов, объектных, локальных и ресурсных смет отдельно по каждому объекту, бизнес-план, прайс-листы, копии договоров, проектно-сметная документация, прошедшая экспертизу (в случае наличия).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заявления на утверждение инвестиционной программы осуществляется без проектной (проектно-сметной) документации по эскизам (эскизным проектам) согласованный с местными исполнительными органами городов республиканского значения, столицы, районов (городов областного значения)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 Республики Казахстан "Об архитектурной, градостроительной и строительной деятельности в Республике Казахстан";";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"604. К заявке на изменение тарифа прилагаются: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записка, с указанием причин изменения утвержденного ведомством уполномоченного органа тарифа до истечения его срока действия;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тарифной сметы в соответствии с Перечнем затрат, учитываемых и не учитываемых в тарифе, Правилами ограничения размеров затрат, учитываемых в тарифе, согласно настоящим Правилам. При этом, в случае увеличения стоимости стратегических товаров в тарифной смете корректируются только статьи затрат, включающие использование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необходимость изменения утвержденного ведомством уполномоченного органа тарифа до истечения его срока действия.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стоимости стратегических товаров и (или) подлежащих государственному регулированию тарифов (цен) на транспортировку стратегических товаров к заявке на утверждение тарифа прилагаются конкурсная документация, решения конкурсных (тендерных) комиссий по закупке товаров, договора, счета-фактуры, расчеты уровня затрат, а также произведенные на основе типовых норм и нормативов, действующих в соответствующей отрасли (сфере), расчеты технических потерь, нормах расхода стратегического товара.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ведомством уполномоченного органа заявки об изменении тарифа до истечения его срока действия в случаях, предусмотренных: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подпунктами 1), 2), 3) и 5) пункта 601 настоящих Правил, составляет не более десяти рабочих дней со дня ее представления;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подпунктами 4), 6), 10) и 11) пункта 601 настоящих Правил, составляет не более тридцати рабочих дней со дня ее представления;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подпунктом 12) пункта 601 настоящих Правил, составляет не более девяноста рабочих дней со дня ее представления.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стоимости стратегических товаров и (или) подлежащих государственному регулированию тарифов (цен) на транспортировку стратегических товаров к заявке на утверждение тарифа прилагаются конкурсная документация, решения конкурсных (тендерных) комиссий по закупке товаров, за исключением субъектов, предоставляющих регулируемые услуги в сферах передачи электрической энергии, договора, счета-фактуры, расчеты уровня затрат, а также произведенные на основе типовых норм и нормативов, действующих в соответствующей отрасли (сфере), расчеты технических потерь, нормах расхода стратегического товара.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Субъекты, предоставляющие регулируемые услуги в сферах передачи электрической энергии в случае изменения стоимости стратегических товаров и (или) подлежащих государственному регулированию тарифов (цен) на транспортировку стратегических товаров к заявке на утверждение тарифа дополнительно предоставляют прогнозные значения базовой цены и прогнозные тарифы на соответствующий период.".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3" w:id="7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4" w:id="7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и ирригации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5" w:id="7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6" w:id="7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