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21b6" w14:textId="37a2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субъекту предпринимательства для заключения партнерского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9 апреля 2024 года № 214/НҚ. Зарегистрирован в Министерстве юстиции Республики Казахстан 11 апреля 2024 года № 34250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11-2 Закона Республики Казахстан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субъекту предпринимательства для заключения партнерского соглашения.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2024 года № 214/НҚ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субъекту предпринимательства для заключения партнерского соглашения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Субъекты предпринимательства для заключения партнерского соглашения обеспечивают соответствие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защите", единых требований в области информационно-коммуникационных технологий и обеспечения информационной безопасности,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832, в части обеспечения защиты персональных данных физических лиц и иной информации, доступ к которым ограничен, а также уровня защищенности государственных и негосударственных электронных информационных ресурсов, программного обеспечения, информационных систем и поддерживающей их информационно-коммуникационной инфраструктуры.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Помещения (при наличии) субъектов предпринимательства для заключения партнерского соглашения должны соответствовать условиям и требованиям, применяемым к помещениям Государственной корпорации "Правительство для граждан" (далее – Государственная корпорация), изложенным в Правилах деятельности Государственной корпорации "Правительство для граждан",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за № 13248).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Субъекты предпринимательства для заключения партнерского соглашения обеспечивают оснащение своих помещений (при наличии) визуальным наблюдением с помощью фото- и видеокамер. При наличии системы видеонаблюдения у входа размещается предупредительная вывеска о наличии системы видеонаблюдения.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Уполномоченным органом в сфере оказания государственных услуг при отборе субъектов предпринимательства для заключения партнерского соглашения учитывается письменное подтверждение Государственной корпорации о соответствии требованиям, установленным пунктами 2 и 3 настоящих требований к субъекту предпринимательства для заключения партнерского соглашения.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Субъектами предпринимательства для заключения партнерского соглашения не могут быть субъекты предпринимательства, находящиеся в процессе добровольной либо принудительной ликвидации, бездействующие и субъекты предпринимательства, имеющие просроченные налоговые задолженности, учет по которым ведется в органах государственных доходов.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